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  <w:sz w:val="24"/>
          <w:szCs w:val="24"/>
        </w:rPr>
        <w:id w:val="78100107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8F436D" w:rsidRPr="00EA5224" w:rsidTr="001B25B6">
            <w:trPr>
              <w:trHeight w:val="1465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8F436D" w:rsidRPr="00EA5224" w:rsidRDefault="008F436D" w:rsidP="00791AE7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8F436D" w:rsidRPr="00EA5224" w:rsidRDefault="00197C69" w:rsidP="00791AE7">
                    <w:pPr>
                      <w:pStyle w:val="Sinespaciado"/>
                      <w:rPr>
                        <w:rFonts w:ascii="Times New Roman" w:eastAsiaTheme="majorEastAsia" w:hAnsi="Times New Roman" w:cs="Times New Roman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573DE4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UVS-2015</w:t>
                    </w:r>
                  </w:p>
                </w:tc>
              </w:sdtContent>
            </w:sdt>
          </w:tr>
          <w:tr w:rsidR="008F436D" w:rsidRPr="00EA5224" w:rsidTr="001B25B6">
            <w:trPr>
              <w:trHeight w:val="293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8F436D" w:rsidRPr="00EA5224" w:rsidRDefault="008F436D" w:rsidP="00791AE7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8F436D" w:rsidRPr="00EA5224" w:rsidRDefault="00197C69" w:rsidP="00791AE7">
                    <w:pPr>
                      <w:pStyle w:val="Sinespaciado"/>
                      <w:rPr>
                        <w:rFonts w:ascii="Times New Roman" w:hAnsi="Times New Roman" w:cs="Times New Roman"/>
                        <w:color w:val="A68100" w:themeColor="accent3" w:themeShade="BF"/>
                        <w:sz w:val="24"/>
                        <w:szCs w:val="24"/>
                      </w:rPr>
                    </w:pPr>
                    <w:r w:rsidRPr="00573DE4"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  <w:t>ESPOL</w:t>
                    </w:r>
                  </w:p>
                </w:sdtContent>
              </w:sdt>
              <w:p w:rsidR="00573DE4" w:rsidRDefault="00573DE4" w:rsidP="00791AE7">
                <w:pPr>
                  <w:pStyle w:val="Sinespaciad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799"/>
                  <w:tblW w:w="4600" w:type="pct"/>
                  <w:tblLook w:val="04A0" w:firstRow="1" w:lastRow="0" w:firstColumn="1" w:lastColumn="0" w:noHBand="0" w:noVBand="1"/>
                </w:tblPr>
                <w:tblGrid>
                  <w:gridCol w:w="9922"/>
                </w:tblGrid>
                <w:tr w:rsidR="00CD08A7" w:rsidRPr="00EA5224" w:rsidTr="00791AE7">
                  <w:tc>
                    <w:tcPr>
                      <w:tcW w:w="5000" w:type="pct"/>
                    </w:tcPr>
                    <w:p w:rsidR="00CD08A7" w:rsidRPr="00791AE7" w:rsidRDefault="00CD08A7" w:rsidP="00791AE7">
                      <w:pPr>
                        <w:pStyle w:val="Sinespaciado"/>
                        <w:rPr>
                          <w:rFonts w:cs="Times New Roman"/>
                          <w:b/>
                          <w:bCs/>
                          <w:caps/>
                          <w:sz w:val="160"/>
                          <w:szCs w:val="160"/>
                        </w:rPr>
                      </w:pPr>
                      <w:r w:rsidRPr="00791AE7">
                        <w:rPr>
                          <w:rFonts w:cs="Times New Roman"/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  <w:lang w:val="es-ES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60"/>
                            <w:szCs w:val="160"/>
                            <w:lang w:val="es-ES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691599" w:rsidRPr="00791AE7">
                            <w:rPr>
                              <w:b/>
                              <w:bCs/>
                              <w:caps/>
                              <w:sz w:val="160"/>
                              <w:szCs w:val="160"/>
                              <w:lang w:val="es-ES"/>
                            </w:rPr>
                            <w:t>OBJETIVOS Y METAS DEL BUEN VIVIR</w:t>
                          </w:r>
                        </w:sdtContent>
                      </w:sdt>
                      <w:r w:rsidRPr="00791AE7">
                        <w:rPr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  <w:lang w:val="es-ES"/>
                        </w:rPr>
                        <w:t>]</w:t>
                      </w:r>
                    </w:p>
                  </w:tc>
                </w:tr>
              </w:tbl>
              <w:p w:rsidR="00CD08A7" w:rsidRDefault="00CD08A7" w:rsidP="00791AE7">
                <w:pPr>
                  <w:pStyle w:val="Sinespaciado"/>
                  <w:rPr>
                    <w:b/>
                    <w:sz w:val="160"/>
                    <w:szCs w:val="160"/>
                  </w:rPr>
                </w:pPr>
              </w:p>
              <w:p w:rsidR="00CD08A7" w:rsidRDefault="00CD08A7" w:rsidP="00791AE7">
                <w:pPr>
                  <w:pStyle w:val="Sinespaciado"/>
                  <w:rPr>
                    <w:b/>
                    <w:sz w:val="160"/>
                    <w:szCs w:val="160"/>
                  </w:rPr>
                </w:pPr>
              </w:p>
              <w:p w:rsidR="00CD08A7" w:rsidRDefault="00CD08A7" w:rsidP="00791AE7">
                <w:pPr>
                  <w:pStyle w:val="Sinespaciado"/>
                  <w:rPr>
                    <w:b/>
                    <w:sz w:val="160"/>
                    <w:szCs w:val="160"/>
                  </w:rPr>
                </w:pPr>
              </w:p>
              <w:p w:rsidR="008F436D" w:rsidRPr="00EA5224" w:rsidRDefault="008F436D" w:rsidP="00791AE7">
                <w:pPr>
                  <w:pStyle w:val="Sinespaciado"/>
                  <w:rPr>
                    <w:rFonts w:ascii="Times New Roman" w:hAnsi="Times New Roman" w:cs="Times New Roman"/>
                    <w:color w:val="A68100" w:themeColor="accent3" w:themeShade="BF"/>
                    <w:sz w:val="24"/>
                    <w:szCs w:val="24"/>
                  </w:rPr>
                </w:pPr>
              </w:p>
            </w:tc>
          </w:tr>
        </w:tbl>
        <w:p w:rsidR="00197C69" w:rsidRPr="00EA5224" w:rsidRDefault="00197C69" w:rsidP="00791AE7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8F436D" w:rsidRDefault="008F436D" w:rsidP="00791AE7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791AE7" w:rsidRDefault="00791AE7" w:rsidP="00791AE7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791AE7" w:rsidRDefault="00791AE7" w:rsidP="00791AE7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791AE7" w:rsidRDefault="00791AE7" w:rsidP="00791AE7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791AE7" w:rsidRDefault="00791AE7" w:rsidP="00791AE7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791AE7" w:rsidRDefault="00791AE7" w:rsidP="00791AE7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B25B6" w:rsidRPr="009D75BA" w:rsidRDefault="00CD08A7" w:rsidP="00791AE7">
          <w:pPr>
            <w:spacing w:after="0" w:line="240" w:lineRule="auto"/>
            <w:rPr>
              <w:rFonts w:ascii="Times New Roman" w:hAnsi="Times New Roman" w:cs="Times New Roman"/>
              <w:sz w:val="100"/>
              <w:szCs w:val="100"/>
            </w:rPr>
          </w:pPr>
          <w:r w:rsidRPr="00CD08A7">
            <w:rPr>
              <w:b/>
              <w:sz w:val="100"/>
              <w:szCs w:val="100"/>
            </w:rPr>
            <w:t>FOR-UVS-2</w:t>
          </w:r>
          <w:r w:rsidR="00691599">
            <w:rPr>
              <w:b/>
              <w:sz w:val="100"/>
              <w:szCs w:val="100"/>
            </w:rPr>
            <w:t>9</w:t>
          </w:r>
        </w:p>
        <w:p w:rsidR="008F436D" w:rsidRPr="00EA5224" w:rsidRDefault="008F436D" w:rsidP="00791AE7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EA5224">
            <w:rPr>
              <w:rFonts w:ascii="Times New Roman" w:hAnsi="Times New Roman" w:cs="Times New Roman"/>
              <w:b/>
              <w:bCs/>
              <w:sz w:val="24"/>
              <w:szCs w:val="24"/>
            </w:rPr>
            <w:br w:type="page"/>
          </w:r>
        </w:p>
      </w:sdtContent>
    </w:sdt>
    <w:tbl>
      <w:tblPr>
        <w:tblStyle w:val="Tablaconcuadrcula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6520"/>
      </w:tblGrid>
      <w:tr w:rsidR="00691599" w:rsidRPr="00B7571C" w:rsidTr="006C4D06">
        <w:tc>
          <w:tcPr>
            <w:tcW w:w="1986" w:type="dxa"/>
            <w:shd w:val="clear" w:color="auto" w:fill="F2C8B0" w:themeFill="accent5" w:themeFillTint="66"/>
          </w:tcPr>
          <w:p w:rsidR="00691599" w:rsidRPr="00B7571C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B7571C">
              <w:rPr>
                <w:rFonts w:eastAsia="Calibri" w:cs="Times New Roman"/>
                <w:b/>
                <w:sz w:val="20"/>
                <w:szCs w:val="20"/>
              </w:rPr>
              <w:lastRenderedPageBreak/>
              <w:t>CONTEXTOS</w:t>
            </w:r>
          </w:p>
        </w:tc>
        <w:tc>
          <w:tcPr>
            <w:tcW w:w="1701" w:type="dxa"/>
            <w:shd w:val="clear" w:color="auto" w:fill="F2C8B0" w:themeFill="accent5" w:themeFillTint="66"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OBJETIVOS</w:t>
            </w:r>
          </w:p>
        </w:tc>
        <w:tc>
          <w:tcPr>
            <w:tcW w:w="6520" w:type="dxa"/>
            <w:shd w:val="clear" w:color="auto" w:fill="F2C8B0" w:themeFill="accent5" w:themeFillTint="66"/>
          </w:tcPr>
          <w:p w:rsidR="00691599" w:rsidRPr="00B7571C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METAS</w:t>
            </w:r>
          </w:p>
        </w:tc>
      </w:tr>
      <w:tr w:rsidR="00691599" w:rsidRPr="00B7571C" w:rsidTr="006C4D06">
        <w:tc>
          <w:tcPr>
            <w:tcW w:w="1986" w:type="dxa"/>
            <w:vMerge w:val="restart"/>
          </w:tcPr>
          <w:p w:rsidR="00691599" w:rsidRPr="00691599" w:rsidRDefault="00691599" w:rsidP="006C4D06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691599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FORTALECIMIENTO DE LA INSTITUCIONALIDAD DEMOCRÁTICA Y PARTICIPACIÓN CIUDADANA</w:t>
            </w:r>
          </w:p>
          <w:p w:rsidR="006C4D06" w:rsidRDefault="006C4D06" w:rsidP="006C4D06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Construcción del poder popular</w:t>
            </w:r>
          </w:p>
          <w:p w:rsidR="006C4D06" w:rsidRDefault="00691599" w:rsidP="006C4D06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691599">
              <w:rPr>
                <w:rFonts w:asciiTheme="minorHAnsi" w:hAnsiTheme="minorHAnsi" w:cs="Times New Roman"/>
                <w:sz w:val="20"/>
                <w:szCs w:val="20"/>
              </w:rPr>
              <w:t>Desconcentración</w:t>
            </w:r>
          </w:p>
          <w:p w:rsidR="006C4D06" w:rsidRDefault="006C4D06" w:rsidP="006C4D06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Justicia</w:t>
            </w:r>
          </w:p>
          <w:p w:rsidR="006C4D06" w:rsidRDefault="006C4D06" w:rsidP="006C4D06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Seguridad</w:t>
            </w:r>
          </w:p>
          <w:p w:rsidR="00691599" w:rsidRPr="00691599" w:rsidRDefault="00691599" w:rsidP="006C4D06">
            <w:pPr>
              <w:pStyle w:val="Default"/>
              <w:spacing w:line="276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691599">
              <w:rPr>
                <w:rFonts w:asciiTheme="minorHAnsi" w:hAnsiTheme="minorHAnsi" w:cs="Times New Roman"/>
                <w:sz w:val="20"/>
                <w:szCs w:val="20"/>
              </w:rPr>
              <w:t>Soberanía e integración</w:t>
            </w:r>
          </w:p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691599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Objetivo 1: </w:t>
            </w:r>
            <w:r w:rsidRPr="00691599">
              <w:rPr>
                <w:rFonts w:asciiTheme="minorHAnsi" w:hAnsiTheme="minorHAnsi" w:cs="Times New Roman"/>
                <w:sz w:val="20"/>
                <w:szCs w:val="20"/>
              </w:rPr>
              <w:t>Consolidar el Estado democrático y la construcción del poder popular</w:t>
            </w: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100% de entidades operativas desconcentradas creadas a nivel distrital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100% de distritos con al menos una intervención intersectorial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50% de GAD que cumplan al menos un programa de fortalecimiento institucional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100% de las instancias estatales de decisión pública </w:t>
            </w:r>
            <w:proofErr w:type="spellStart"/>
            <w:r w:rsidRPr="00691599">
              <w:rPr>
                <w:rFonts w:asciiTheme="minorHAnsi" w:hAnsiTheme="minorHAnsi"/>
                <w:sz w:val="20"/>
                <w:szCs w:val="20"/>
              </w:rPr>
              <w:t>descorporativizadas</w:t>
            </w:r>
            <w:proofErr w:type="spellEnd"/>
            <w:r w:rsidRPr="00691599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el índice de capacidad institucional regulatoria a 7 puntos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14% de ocupados afro ecuatorianos, indígenas y montubios en el sector público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el índice de percepción de la calidad de los servicios públicos a 8 puntos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100% de los Consejos Ciudadanos Sectoriales (CCS) conformados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 w:cs="Times New Roman"/>
                <w:b/>
                <w:sz w:val="20"/>
                <w:szCs w:val="20"/>
              </w:rPr>
              <w:t>Objetivo 6:</w:t>
            </w:r>
            <w:r w:rsidRPr="00691599">
              <w:rPr>
                <w:rFonts w:asciiTheme="minorHAnsi" w:hAnsiTheme="minorHAnsi" w:cs="Times New Roman"/>
                <w:sz w:val="20"/>
                <w:szCs w:val="20"/>
              </w:rPr>
              <w:t xml:space="preserve"> Consolidar la transformación de la justicia y fortalecer la seguridad integral, en estricto respeto a los derechos humanos</w:t>
            </w:r>
            <w:r w:rsidRPr="00691599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el porcentaje de personas víctimas de delito al 2,2%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>Reducir la mortalidad por accidentes de trá</w:t>
            </w:r>
            <w:r w:rsidR="006C4D06">
              <w:rPr>
                <w:rFonts w:asciiTheme="minorHAnsi" w:hAnsiTheme="minorHAnsi"/>
                <w:sz w:val="20"/>
                <w:szCs w:val="20"/>
              </w:rPr>
              <w:t>nsito a 13 muertes por cada 100.</w:t>
            </w:r>
            <w:r w:rsidRPr="00691599">
              <w:rPr>
                <w:rFonts w:asciiTheme="minorHAnsi" w:hAnsiTheme="minorHAnsi"/>
                <w:sz w:val="20"/>
                <w:szCs w:val="20"/>
              </w:rPr>
              <w:t xml:space="preserve">000 habitantes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 tasa de homicidios a 8 muertes por cada 100 000 habitantes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el porcentaje de homicidios por armas de fuego a 50%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al 40% el hacinamiento en los centros de privación de libertad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>Reducir la tasa de homicidios (asesinatos) a mujeres a 2 muertes por cada 100</w:t>
            </w:r>
            <w:r w:rsidR="006C4D06">
              <w:rPr>
                <w:rFonts w:asciiTheme="minorHAnsi" w:hAnsiTheme="minorHAnsi"/>
                <w:sz w:val="20"/>
                <w:szCs w:val="20"/>
              </w:rPr>
              <w:t>.</w:t>
            </w:r>
            <w:r w:rsidRPr="00691599">
              <w:rPr>
                <w:rFonts w:asciiTheme="minorHAnsi" w:hAnsiTheme="minorHAnsi"/>
                <w:sz w:val="20"/>
                <w:szCs w:val="20"/>
              </w:rPr>
              <w:t xml:space="preserve">000 mujeres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 tasa de congestión a 1,69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eastAsia="Calibr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 tasa de pendencia a 0,69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la tasa resolución a 1,12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>Aum</w:t>
            </w:r>
            <w:r w:rsidR="006C4D06">
              <w:rPr>
                <w:rFonts w:asciiTheme="minorHAnsi" w:hAnsiTheme="minorHAnsi"/>
                <w:sz w:val="20"/>
                <w:szCs w:val="20"/>
              </w:rPr>
              <w:t>entar la tasa de jueces por 100.</w:t>
            </w:r>
            <w:r w:rsidRPr="00691599">
              <w:rPr>
                <w:rFonts w:asciiTheme="minorHAnsi" w:hAnsiTheme="minorHAnsi"/>
                <w:sz w:val="20"/>
                <w:szCs w:val="20"/>
              </w:rPr>
              <w:t xml:space="preserve">000 habitantes a 12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</w:t>
            </w:r>
            <w:r w:rsidR="006C4D06">
              <w:rPr>
                <w:rFonts w:asciiTheme="minorHAnsi" w:hAnsiTheme="minorHAnsi"/>
                <w:sz w:val="20"/>
                <w:szCs w:val="20"/>
              </w:rPr>
              <w:t>la tasa de fiscales a 8 por 100.</w:t>
            </w:r>
            <w:r w:rsidRPr="00691599">
              <w:rPr>
                <w:rFonts w:asciiTheme="minorHAnsi" w:hAnsiTheme="minorHAnsi"/>
                <w:sz w:val="20"/>
                <w:szCs w:val="20"/>
              </w:rPr>
              <w:t xml:space="preserve">000 habitantes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>Aumentar la tasa de defensores a 5 por 100</w:t>
            </w:r>
            <w:r w:rsidR="006C4D06">
              <w:rPr>
                <w:rFonts w:asciiTheme="minorHAnsi" w:hAnsiTheme="minorHAnsi"/>
                <w:sz w:val="20"/>
                <w:szCs w:val="20"/>
              </w:rPr>
              <w:t>.</w:t>
            </w:r>
            <w:r w:rsidRPr="00691599">
              <w:rPr>
                <w:rFonts w:asciiTheme="minorHAnsi" w:hAnsiTheme="minorHAnsi"/>
                <w:sz w:val="20"/>
                <w:szCs w:val="20"/>
              </w:rPr>
              <w:t xml:space="preserve">000 habitantes </w:t>
            </w:r>
          </w:p>
        </w:tc>
      </w:tr>
      <w:tr w:rsidR="00691599" w:rsidRPr="00B7571C" w:rsidTr="006C4D06">
        <w:tc>
          <w:tcPr>
            <w:tcW w:w="1986" w:type="dxa"/>
            <w:vMerge w:val="restart"/>
          </w:tcPr>
          <w:p w:rsidR="00691599" w:rsidRPr="00691599" w:rsidRDefault="00691599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DERECHOS DEL BUEN VIVIR Y HÁBITAT SUSTENTABLE </w:t>
            </w:r>
          </w:p>
          <w:p w:rsidR="006C4D06" w:rsidRDefault="00691599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>Educación</w:t>
            </w:r>
          </w:p>
          <w:p w:rsidR="00691599" w:rsidRDefault="006C4D06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Salud</w:t>
            </w:r>
          </w:p>
          <w:p w:rsidR="00691599" w:rsidRDefault="006C4D06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Vivienda</w:t>
            </w:r>
          </w:p>
          <w:p w:rsidR="00691599" w:rsidRDefault="006C4D06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Arte y Cultura</w:t>
            </w:r>
          </w:p>
          <w:p w:rsidR="00691599" w:rsidRDefault="006C4D06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Comunicación</w:t>
            </w:r>
          </w:p>
          <w:p w:rsidR="00691599" w:rsidRDefault="006C4D06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Ambiente</w:t>
            </w:r>
            <w:r w:rsidR="00791AE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Theme="minorHAnsi" w:hAnsiTheme="minorHAnsi"/>
                <w:sz w:val="20"/>
                <w:szCs w:val="20"/>
              </w:rPr>
              <w:t>Ocio</w:t>
            </w:r>
          </w:p>
          <w:p w:rsidR="00691599" w:rsidRPr="006C4D06" w:rsidRDefault="006C4D06" w:rsidP="006C4D06">
            <w:pPr>
              <w:widowControl w:val="0"/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Infraestructura </w:t>
            </w:r>
            <w:r w:rsidR="00691599" w:rsidRPr="006C4D06">
              <w:rPr>
                <w:sz w:val="20"/>
                <w:szCs w:val="20"/>
              </w:rPr>
              <w:t>sanitaria</w:t>
            </w:r>
          </w:p>
        </w:tc>
        <w:tc>
          <w:tcPr>
            <w:tcW w:w="1701" w:type="dxa"/>
            <w:vMerge w:val="restart"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Objetivo 2: </w:t>
            </w:r>
          </w:p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Auspiciar la igualdad, la cohesión, la inclusión y la equidad social y territorial en la diversidad </w:t>
            </w: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 incidencia de la pobreza por ingresos al 20%, y erradicar la extrema pobreza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el coeficiente de </w:t>
            </w:r>
            <w:proofErr w:type="spellStart"/>
            <w:r w:rsidRPr="00691599">
              <w:rPr>
                <w:rFonts w:asciiTheme="minorHAnsi" w:hAnsiTheme="minorHAnsi"/>
                <w:sz w:val="20"/>
                <w:szCs w:val="20"/>
              </w:rPr>
              <w:t>Gini</w:t>
            </w:r>
            <w:proofErr w:type="spellEnd"/>
            <w:r w:rsidRPr="00691599">
              <w:rPr>
                <w:rFonts w:asciiTheme="minorHAnsi" w:hAnsiTheme="minorHAnsi"/>
                <w:sz w:val="20"/>
                <w:szCs w:val="20"/>
              </w:rPr>
              <w:t xml:space="preserve"> a 0,44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 relación entre el 10% más rico y el 10% más pobre a 20 veces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Universalizar la tasa neta de asistencia a educación básica media y básica y superior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una tasa neta de asistencia a bachillerato del 80%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Universalizar la cobertura de programas de primera infancia para niños/as menores de 5 años en situación de pobreza y alcanzar el 65% a nivel nacional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el analfabetismo en la población indígena y montubia entre 15 y 49 años al 4%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Objetivo 3: </w:t>
            </w:r>
          </w:p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Mejorar la calidad de vida de la población </w:t>
            </w: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 razón de mortalidad materna en 29%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 tasa de mortalidad infantil en 41%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Erradicar la desnutrición crónica en niños/as menores de 2 años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Revertir la tendencia de la incidencia de obesidad y sobrepeso en niños/as de 5 a 11 años y alcanzar el 26%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 mortalidad por dengue grave al 2%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al 64% la prevalencia de lactancia materna exclusiva en los primeros 6 meses de vida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Eliminar las infecciones por VIH en recién nacidos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el porcentaje de hogares que viven en hacinamiento al 7% a nivel nacional y rural al 8%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el déficit habitacional cuantitativo nacional al 9%, y el rural en 5 puntos porcentuales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95% de viviendas en el área rural con sistema adecuado de eliminación de excretas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95% de viviendas con acceso a red pública de agua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Objetivo 4: </w:t>
            </w:r>
            <w:r w:rsidRPr="00691599">
              <w:rPr>
                <w:rFonts w:asciiTheme="minorHAnsi" w:hAnsiTheme="minorHAnsi"/>
                <w:sz w:val="20"/>
                <w:szCs w:val="20"/>
              </w:rPr>
              <w:t xml:space="preserve">Fortalecer las capacidades y potencialidades de la ciudadanía </w:t>
            </w: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el porcentaje de personas entre 16 y 24 años con educación básica completa al 95%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el porcentaje de personas entre 18 y 24 años con bachillerato completo al 78%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el abandono escolar en 8° de educación básica general y 1° de bachillerato al 3%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el acceso a Internet en establecimientos educativos al 90%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la matrícula en educación superior al 50%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la matrícula en institutos técnicos y tecnológicos al 25%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80% de titulación en educación superior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85% de profesores universitarios con título de cuarto nivel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Objetivo 5: </w:t>
            </w:r>
          </w:p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Construir espacios de encuentro común y fortalecer la identidad nacional, las identidades diversas, la plurinacionalidad y la interculturalidad. </w:t>
            </w: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la transmisión generacional de la lengua nativa al 90%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Revertir la tendencia en la participación de la ciudadanía en actividades culturales, sociales, deportivas y comunitarias y superar el 13%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el porcentaje de población </w:t>
            </w:r>
            <w:proofErr w:type="spellStart"/>
            <w:r w:rsidRPr="00691599">
              <w:rPr>
                <w:rFonts w:asciiTheme="minorHAnsi" w:hAnsiTheme="minorHAnsi"/>
                <w:sz w:val="20"/>
                <w:szCs w:val="20"/>
              </w:rPr>
              <w:t>autoindentificada</w:t>
            </w:r>
            <w:proofErr w:type="spellEnd"/>
            <w:r w:rsidRPr="00691599">
              <w:rPr>
                <w:rFonts w:asciiTheme="minorHAnsi" w:hAnsiTheme="minorHAnsi"/>
                <w:sz w:val="20"/>
                <w:szCs w:val="20"/>
              </w:rPr>
              <w:t xml:space="preserve"> como indígena que habla lengua nativa al 83%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Incrementar el número de obras audiovisuales de producción nacional a 18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Incrementar el número de estrenos de obras cinematográficas independientes de producción y coproducción nacional en salas de cine comercial a 15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Objetivo 7: </w:t>
            </w:r>
            <w:r w:rsidRPr="00691599">
              <w:rPr>
                <w:rFonts w:asciiTheme="minorHAnsi" w:hAnsiTheme="minorHAnsi"/>
                <w:sz w:val="20"/>
                <w:szCs w:val="20"/>
              </w:rPr>
              <w:t xml:space="preserve">Garantizar los derechos de la naturaleza y promover la sostenibilidad ambiental territorial </w:t>
            </w:r>
          </w:p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y global </w:t>
            </w: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la proporción del territorio continental bajo conservación o manejo ambiental al 35,90%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la superficie del territorio marino costero-continental bajo conservación o manejo ambiental a 817 000 hectáreas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la superficie de restauración forestal a 300 000 hectáreas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la </w:t>
            </w:r>
            <w:proofErr w:type="spellStart"/>
            <w:r w:rsidRPr="00691599">
              <w:rPr>
                <w:rFonts w:asciiTheme="minorHAnsi" w:hAnsiTheme="minorHAnsi"/>
                <w:sz w:val="20"/>
                <w:szCs w:val="20"/>
              </w:rPr>
              <w:t>biocapacidad</w:t>
            </w:r>
            <w:proofErr w:type="spellEnd"/>
            <w:r w:rsidRPr="00691599">
              <w:rPr>
                <w:rFonts w:asciiTheme="minorHAnsi" w:hAnsiTheme="minorHAnsi"/>
                <w:sz w:val="20"/>
                <w:szCs w:val="20"/>
              </w:rPr>
              <w:t xml:space="preserve"> a 2,50 hectáreas globales per cápita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al 60% el porcentaje de fuentes de contaminación de la industria </w:t>
            </w:r>
            <w:proofErr w:type="spellStart"/>
            <w:r w:rsidRPr="00691599">
              <w:rPr>
                <w:rFonts w:asciiTheme="minorHAnsi" w:hAnsiTheme="minorHAnsi"/>
                <w:sz w:val="20"/>
                <w:szCs w:val="20"/>
              </w:rPr>
              <w:t>hidrocarburífera</w:t>
            </w:r>
            <w:proofErr w:type="spellEnd"/>
            <w:r w:rsidRPr="00691599">
              <w:rPr>
                <w:rFonts w:asciiTheme="minorHAnsi" w:hAnsiTheme="minorHAnsi"/>
                <w:sz w:val="20"/>
                <w:szCs w:val="20"/>
              </w:rPr>
              <w:t xml:space="preserve"> eliminadas, remediadas y avaladas por la Autoridad Ambiental Nacional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el porcentaje de hogares que clasifican sus desechos: orgánicos al 32%, plásticos al 45%, y papel al 32% </w:t>
            </w:r>
          </w:p>
        </w:tc>
      </w:tr>
      <w:tr w:rsidR="00691599" w:rsidRPr="00B7571C" w:rsidTr="006C4D06">
        <w:tc>
          <w:tcPr>
            <w:tcW w:w="1986" w:type="dxa"/>
            <w:vMerge w:val="restart"/>
          </w:tcPr>
          <w:p w:rsidR="006C4D06" w:rsidRDefault="006C4D06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ECONOMÍA SOCIAL Y SOLIDARIA</w:t>
            </w:r>
          </w:p>
          <w:p w:rsidR="006C4D06" w:rsidRDefault="00691599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>Matriz Productiva</w:t>
            </w:r>
          </w:p>
          <w:p w:rsidR="006C4D06" w:rsidRDefault="00691599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>Energía</w:t>
            </w:r>
          </w:p>
          <w:p w:rsidR="006C4D06" w:rsidRDefault="00691599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>Agricultura y soberanía alimentaria</w:t>
            </w:r>
          </w:p>
          <w:p w:rsidR="006C4D06" w:rsidRDefault="00691599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>Mercados colaborativos</w:t>
            </w:r>
          </w:p>
          <w:p w:rsidR="006C4D06" w:rsidRDefault="00691599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>Innovación Social</w:t>
            </w:r>
          </w:p>
          <w:p w:rsidR="00691599" w:rsidRPr="00691599" w:rsidRDefault="00691599" w:rsidP="006C4D06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Trabajo </w:t>
            </w:r>
          </w:p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91599" w:rsidRPr="00791AE7" w:rsidRDefault="00691599" w:rsidP="00791AE7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Objetivo 8: </w:t>
            </w:r>
            <w:r w:rsidRPr="00691599">
              <w:rPr>
                <w:rFonts w:asciiTheme="minorHAnsi" w:hAnsiTheme="minorHAnsi"/>
                <w:sz w:val="20"/>
                <w:szCs w:val="20"/>
              </w:rPr>
              <w:t xml:space="preserve">Consolidar el sistema económico social y solidario, de forma sostenible </w:t>
            </w: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la contribución tributaria al 16%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No superar el 12% en el déficit de la cuenta corriente no petrolera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No superar el 25% de componente importado de la oferta agregada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Incrementar al 15,2% la participación de la inversión pública con respecto al PIB </w:t>
            </w:r>
          </w:p>
        </w:tc>
      </w:tr>
      <w:tr w:rsidR="00691599" w:rsidRPr="00B7571C" w:rsidTr="00791AE7">
        <w:trPr>
          <w:trHeight w:val="164"/>
        </w:trPr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en 25% los ingresos de autogestión de los GAD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Objetivo 9: </w:t>
            </w:r>
            <w:r w:rsidRPr="00691599">
              <w:rPr>
                <w:rFonts w:asciiTheme="minorHAnsi" w:hAnsiTheme="minorHAnsi"/>
                <w:sz w:val="20"/>
                <w:szCs w:val="20"/>
              </w:rPr>
              <w:t xml:space="preserve">Garantizar el trabajo digno en todas sus formas </w:t>
            </w:r>
          </w:p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55% de la PEA con ocupación plena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Disminuir el subempleo de la PEA al 40%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el desempleo juvenil en 15%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 informalidad laboral al 42%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Erradicar el trabajo infantil de 5 a 14 años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21% de trabajadores capacitados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la PEA afiliada a la seguridad social contributiva al 60%, y a nivel rural al 50%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en 10 puntos el porcentaje de hogares que cubren la canasta básica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Objetivo 10: </w:t>
            </w:r>
            <w:r w:rsidRPr="00691599">
              <w:rPr>
                <w:rFonts w:asciiTheme="minorHAnsi" w:hAnsiTheme="minorHAnsi"/>
                <w:sz w:val="20"/>
                <w:szCs w:val="20"/>
              </w:rPr>
              <w:t xml:space="preserve">Impulsar la transformación de la matriz productiva </w:t>
            </w:r>
          </w:p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Incrementar la participación de exportaciones de productos con intensidad tecnológica alta, media, baja y basado en recursos naturales al 50%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las importaciones no petroleras de bienes primarios y basados en recursos naturales en un 40,5%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la participación de la industria manufacturera al 14,5%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20% de participación de la mano de obra calificada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Disminuir la concentración de la superficie regada a 60 veces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 intermediación de productos de pequeños y medianos productores en 33%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Revertir la tendencia en la participación de las importaciones en el consumo de alimentos agrícolas y cárnicos y alcanzar el 5%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a 64% los ingresos por turismo sobre las exportaciones de servicios totales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a 12 días el tiempo necesario para iniciar un negocio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91599" w:rsidRPr="00791AE7" w:rsidRDefault="00691599" w:rsidP="00791AE7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Objetivo 11: </w:t>
            </w: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Asegurar la soberanía y eficiencia de los sectores estratégicos para la transformación industrial y tecnológica </w:t>
            </w: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60% de potencia instalada renovable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el 76% de suficiencia de energía secundaria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la capacidad instalada para generación eléctrica a 8 741 MW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Identificar la disponibilidad de ocurrencias de recursos minerales en el 100% del territorio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un índice de digitalización de 41,7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Alcanzar un índice de gobierno electrónico de 0,55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Disminuir el analfabetismo digital al 17,9%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el porcentaje de personas que usan TIC al 50%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Objetivo 12: </w:t>
            </w:r>
            <w:r w:rsidRPr="00691599">
              <w:rPr>
                <w:rFonts w:asciiTheme="minorHAnsi" w:hAnsiTheme="minorHAnsi"/>
                <w:sz w:val="20"/>
                <w:szCs w:val="20"/>
              </w:rPr>
              <w:t xml:space="preserve">Garantizar la soberanía y la paz, profundizar la inserción estratégica en el mundo y la integración latinoamericana </w:t>
            </w:r>
          </w:p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 concentración de las exportaciones por destino en 37%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 concentración de las exportaciones por producto en 15%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Aumentar 7 puntos porcentuales participación de productos no tradicionales en las exportaciones no petroleras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Incrementar a 1,12 la razón de exportaciones industriales no petroleras sobre primarias no petroleras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 xml:space="preserve">Reducir la pobreza por NBI en el sector rural de la Frontera Norte en 8 puntos porcentuales </w:t>
            </w:r>
          </w:p>
        </w:tc>
      </w:tr>
      <w:tr w:rsidR="00691599" w:rsidRPr="00B7571C" w:rsidTr="006C4D06">
        <w:tc>
          <w:tcPr>
            <w:tcW w:w="1986" w:type="dxa"/>
            <w:vMerge/>
          </w:tcPr>
          <w:p w:rsidR="00691599" w:rsidRPr="00691599" w:rsidRDefault="00691599" w:rsidP="00691599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1599" w:rsidRPr="00691599" w:rsidRDefault="00691599" w:rsidP="0069159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:rsidR="00691599" w:rsidRPr="00691599" w:rsidRDefault="00691599" w:rsidP="00791AE7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1599">
              <w:rPr>
                <w:rFonts w:asciiTheme="minorHAnsi" w:hAnsiTheme="minorHAnsi"/>
                <w:sz w:val="20"/>
                <w:szCs w:val="20"/>
              </w:rPr>
              <w:t>Reducir la pobreza por NBI en el sector rural de la Frontera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Sur en 5 puntos porcentuales</w:t>
            </w:r>
          </w:p>
        </w:tc>
      </w:tr>
    </w:tbl>
    <w:p w:rsidR="00574EFD" w:rsidRPr="00E64529" w:rsidRDefault="00574EFD" w:rsidP="00D60DC8">
      <w:pPr>
        <w:widowControl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574EFD" w:rsidRPr="00E64529" w:rsidSect="001B25B6">
      <w:headerReference w:type="default" r:id="rId12"/>
      <w:footerReference w:type="default" r:id="rId13"/>
      <w:pgSz w:w="12240" w:h="15840" w:code="1"/>
      <w:pgMar w:top="1276" w:right="1440" w:bottom="1134" w:left="1440" w:header="737" w:footer="18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AF9" w:rsidRDefault="00804AF9" w:rsidP="00FA3230">
      <w:pPr>
        <w:spacing w:after="0" w:line="240" w:lineRule="auto"/>
      </w:pPr>
      <w:r>
        <w:separator/>
      </w:r>
    </w:p>
  </w:endnote>
  <w:endnote w:type="continuationSeparator" w:id="0">
    <w:p w:rsidR="00804AF9" w:rsidRDefault="00804AF9" w:rsidP="00FA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883593121"/>
      <w:docPartObj>
        <w:docPartGallery w:val="Page Numbers (Bottom of Page)"/>
        <w:docPartUnique/>
      </w:docPartObj>
    </w:sdtPr>
    <w:sdtEndPr>
      <w:rPr>
        <w:noProof/>
        <w:lang w:val="es-ES"/>
      </w:rPr>
    </w:sdtEndPr>
    <w:sdtContent>
      <w:p w:rsidR="00197C69" w:rsidRPr="00E84865" w:rsidRDefault="00197C69" w:rsidP="00197C69">
        <w:pPr>
          <w:pStyle w:val="Piedepgina"/>
          <w:jc w:val="right"/>
          <w:rPr>
            <w:noProof/>
            <w:sz w:val="20"/>
            <w:szCs w:val="20"/>
            <w:lang w:val="es-ES"/>
          </w:rPr>
        </w:pPr>
        <w:r w:rsidRPr="00E84865">
          <w:rPr>
            <w:sz w:val="20"/>
            <w:szCs w:val="20"/>
            <w:lang w:val="es-ES"/>
          </w:rPr>
          <w:t xml:space="preserve">Página </w:t>
        </w:r>
        <w:r w:rsidRPr="00E84865">
          <w:rPr>
            <w:b/>
            <w:sz w:val="20"/>
            <w:szCs w:val="20"/>
          </w:rPr>
          <w:fldChar w:fldCharType="begin"/>
        </w:r>
        <w:r w:rsidRPr="00E84865">
          <w:rPr>
            <w:b/>
            <w:sz w:val="20"/>
            <w:szCs w:val="20"/>
          </w:rPr>
          <w:instrText>PAGE  \* Arabic  \* MERGEFORMAT</w:instrText>
        </w:r>
        <w:r w:rsidRPr="00E84865">
          <w:rPr>
            <w:b/>
            <w:sz w:val="20"/>
            <w:szCs w:val="20"/>
          </w:rPr>
          <w:fldChar w:fldCharType="separate"/>
        </w:r>
        <w:r w:rsidR="00791AE7" w:rsidRPr="00791AE7">
          <w:rPr>
            <w:b/>
            <w:noProof/>
            <w:sz w:val="20"/>
            <w:szCs w:val="20"/>
            <w:lang w:val="es-ES"/>
          </w:rPr>
          <w:t>1</w:t>
        </w:r>
        <w:r w:rsidRPr="00E84865">
          <w:rPr>
            <w:b/>
            <w:sz w:val="20"/>
            <w:szCs w:val="20"/>
          </w:rPr>
          <w:fldChar w:fldCharType="end"/>
        </w:r>
        <w:r w:rsidRPr="00E84865">
          <w:rPr>
            <w:sz w:val="20"/>
            <w:szCs w:val="20"/>
            <w:lang w:val="es-ES"/>
          </w:rPr>
          <w:t xml:space="preserve"> de </w:t>
        </w:r>
        <w:r w:rsidRPr="00E84865">
          <w:rPr>
            <w:b/>
            <w:sz w:val="20"/>
            <w:szCs w:val="20"/>
          </w:rPr>
          <w:fldChar w:fldCharType="begin"/>
        </w:r>
        <w:r w:rsidRPr="00E84865">
          <w:rPr>
            <w:b/>
            <w:sz w:val="20"/>
            <w:szCs w:val="20"/>
          </w:rPr>
          <w:instrText>NUMPAGES  \* Arabic  \* MERGEFORMAT</w:instrText>
        </w:r>
        <w:r w:rsidRPr="00E84865">
          <w:rPr>
            <w:b/>
            <w:sz w:val="20"/>
            <w:szCs w:val="20"/>
          </w:rPr>
          <w:fldChar w:fldCharType="separate"/>
        </w:r>
        <w:r w:rsidR="00791AE7" w:rsidRPr="00791AE7">
          <w:rPr>
            <w:b/>
            <w:noProof/>
            <w:sz w:val="20"/>
            <w:szCs w:val="20"/>
            <w:lang w:val="es-ES"/>
          </w:rPr>
          <w:t>3</w:t>
        </w:r>
        <w:r w:rsidRPr="00E84865">
          <w:rPr>
            <w:b/>
            <w:sz w:val="20"/>
            <w:szCs w:val="20"/>
          </w:rPr>
          <w:fldChar w:fldCharType="end"/>
        </w:r>
      </w:p>
    </w:sdtContent>
  </w:sdt>
  <w:p w:rsidR="005A3C4C" w:rsidRPr="00E84865" w:rsidRDefault="00197C69" w:rsidP="00197C69">
    <w:pPr>
      <w:pStyle w:val="Piedepgina"/>
      <w:jc w:val="both"/>
      <w:rPr>
        <w:i/>
        <w:sz w:val="20"/>
        <w:szCs w:val="20"/>
      </w:rPr>
    </w:pPr>
    <w:r w:rsidRPr="00E84865">
      <w:rPr>
        <w:i/>
        <w:sz w:val="20"/>
        <w:szCs w:val="20"/>
      </w:rPr>
      <w:t>UVS 2015 Versión 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AF9" w:rsidRDefault="00804AF9" w:rsidP="00FA3230">
      <w:pPr>
        <w:spacing w:after="0" w:line="240" w:lineRule="auto"/>
      </w:pPr>
      <w:r>
        <w:separator/>
      </w:r>
    </w:p>
  </w:footnote>
  <w:footnote w:type="continuationSeparator" w:id="0">
    <w:p w:rsidR="00804AF9" w:rsidRDefault="00804AF9" w:rsidP="00FA3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FE3" w:rsidRPr="00197C69" w:rsidRDefault="00E84865" w:rsidP="00791AE7">
    <w:pPr>
      <w:tabs>
        <w:tab w:val="left" w:pos="2835"/>
        <w:tab w:val="center" w:pos="3249"/>
      </w:tabs>
      <w:spacing w:after="0" w:line="240" w:lineRule="auto"/>
      <w:ind w:left="2835"/>
      <w:rPr>
        <w:color w:val="444E55" w:themeColor="text2" w:themeShade="BF"/>
        <w:sz w:val="20"/>
      </w:rPr>
    </w:pPr>
    <w:r>
      <w:rPr>
        <w:noProof/>
        <w:lang w:eastAsia="es-EC"/>
      </w:rPr>
      <w:drawing>
        <wp:anchor distT="0" distB="0" distL="114300" distR="114300" simplePos="0" relativeHeight="251658240" behindDoc="0" locked="0" layoutInCell="1" allowOverlap="1" wp14:anchorId="16694ED9" wp14:editId="610292F4">
          <wp:simplePos x="0" y="0"/>
          <wp:positionH relativeFrom="column">
            <wp:posOffset>1396365</wp:posOffset>
          </wp:positionH>
          <wp:positionV relativeFrom="paragraph">
            <wp:posOffset>-71755</wp:posOffset>
          </wp:positionV>
          <wp:extent cx="281305" cy="284480"/>
          <wp:effectExtent l="0" t="0" r="4445" b="1270"/>
          <wp:wrapSquare wrapText="bothSides"/>
          <wp:docPr id="2" name="Imagen 2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7C69" w:rsidRPr="002F490A">
      <w:rPr>
        <w:b/>
        <w:color w:val="444E55" w:themeColor="text2" w:themeShade="BF"/>
        <w:sz w:val="20"/>
      </w:rPr>
      <w:t>UNIDAD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3CB7"/>
    <w:multiLevelType w:val="hybridMultilevel"/>
    <w:tmpl w:val="132258A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52972"/>
    <w:multiLevelType w:val="hybridMultilevel"/>
    <w:tmpl w:val="846ED32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93706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3" w15:restartNumberingAfterBreak="0">
    <w:nsid w:val="7EB41EBF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383"/>
    <w:rsid w:val="00002524"/>
    <w:rsid w:val="00010EF9"/>
    <w:rsid w:val="0001204F"/>
    <w:rsid w:val="00016471"/>
    <w:rsid w:val="000273F8"/>
    <w:rsid w:val="00045C26"/>
    <w:rsid w:val="00067E51"/>
    <w:rsid w:val="00077F02"/>
    <w:rsid w:val="00090190"/>
    <w:rsid w:val="0009213C"/>
    <w:rsid w:val="00094256"/>
    <w:rsid w:val="000A3E4B"/>
    <w:rsid w:val="000B0B86"/>
    <w:rsid w:val="000B5F7C"/>
    <w:rsid w:val="000D0DFA"/>
    <w:rsid w:val="000D168E"/>
    <w:rsid w:val="000E2FD0"/>
    <w:rsid w:val="000E586A"/>
    <w:rsid w:val="000F0D33"/>
    <w:rsid w:val="00105182"/>
    <w:rsid w:val="001159D9"/>
    <w:rsid w:val="00122D59"/>
    <w:rsid w:val="00162C2B"/>
    <w:rsid w:val="001764BB"/>
    <w:rsid w:val="00197C69"/>
    <w:rsid w:val="001A3316"/>
    <w:rsid w:val="001A3D75"/>
    <w:rsid w:val="001A720C"/>
    <w:rsid w:val="001B25B6"/>
    <w:rsid w:val="001B32E3"/>
    <w:rsid w:val="001D656A"/>
    <w:rsid w:val="00212FCF"/>
    <w:rsid w:val="002206C0"/>
    <w:rsid w:val="00227117"/>
    <w:rsid w:val="002317D4"/>
    <w:rsid w:val="0023745C"/>
    <w:rsid w:val="002438D9"/>
    <w:rsid w:val="00243C27"/>
    <w:rsid w:val="00257D32"/>
    <w:rsid w:val="00270854"/>
    <w:rsid w:val="00297206"/>
    <w:rsid w:val="002A16DA"/>
    <w:rsid w:val="002B4071"/>
    <w:rsid w:val="002C7DB1"/>
    <w:rsid w:val="002D080C"/>
    <w:rsid w:val="002D1F47"/>
    <w:rsid w:val="002F4FBF"/>
    <w:rsid w:val="002F7073"/>
    <w:rsid w:val="00313468"/>
    <w:rsid w:val="00314D95"/>
    <w:rsid w:val="00337B0F"/>
    <w:rsid w:val="00360501"/>
    <w:rsid w:val="00381503"/>
    <w:rsid w:val="00382260"/>
    <w:rsid w:val="00382D1A"/>
    <w:rsid w:val="00386684"/>
    <w:rsid w:val="00390DB7"/>
    <w:rsid w:val="00390E46"/>
    <w:rsid w:val="00391637"/>
    <w:rsid w:val="0039698B"/>
    <w:rsid w:val="003A1A5B"/>
    <w:rsid w:val="003B058D"/>
    <w:rsid w:val="003B53F1"/>
    <w:rsid w:val="003B5832"/>
    <w:rsid w:val="003B6928"/>
    <w:rsid w:val="003C0C9D"/>
    <w:rsid w:val="003C3B94"/>
    <w:rsid w:val="003C41B3"/>
    <w:rsid w:val="003E04CC"/>
    <w:rsid w:val="00401645"/>
    <w:rsid w:val="004053D8"/>
    <w:rsid w:val="00407B48"/>
    <w:rsid w:val="00413A0E"/>
    <w:rsid w:val="00436C79"/>
    <w:rsid w:val="00441341"/>
    <w:rsid w:val="0045036F"/>
    <w:rsid w:val="00470FB4"/>
    <w:rsid w:val="00474193"/>
    <w:rsid w:val="00476622"/>
    <w:rsid w:val="004775D7"/>
    <w:rsid w:val="00484037"/>
    <w:rsid w:val="004A1B76"/>
    <w:rsid w:val="004B5173"/>
    <w:rsid w:val="004C4B65"/>
    <w:rsid w:val="004C6A22"/>
    <w:rsid w:val="004C7F9D"/>
    <w:rsid w:val="004E015A"/>
    <w:rsid w:val="004E120B"/>
    <w:rsid w:val="004E24DC"/>
    <w:rsid w:val="004E4DE1"/>
    <w:rsid w:val="004E4EF4"/>
    <w:rsid w:val="004F1017"/>
    <w:rsid w:val="004F269C"/>
    <w:rsid w:val="004F4D98"/>
    <w:rsid w:val="004F601C"/>
    <w:rsid w:val="00501F61"/>
    <w:rsid w:val="00514950"/>
    <w:rsid w:val="00515244"/>
    <w:rsid w:val="00535B73"/>
    <w:rsid w:val="00535E3A"/>
    <w:rsid w:val="00545094"/>
    <w:rsid w:val="00555E33"/>
    <w:rsid w:val="005616DA"/>
    <w:rsid w:val="00562381"/>
    <w:rsid w:val="00567272"/>
    <w:rsid w:val="00573DE4"/>
    <w:rsid w:val="00574EFD"/>
    <w:rsid w:val="005930CE"/>
    <w:rsid w:val="005972DE"/>
    <w:rsid w:val="005A3C4C"/>
    <w:rsid w:val="005A506D"/>
    <w:rsid w:val="005B47B0"/>
    <w:rsid w:val="005B7070"/>
    <w:rsid w:val="005C0336"/>
    <w:rsid w:val="005E21B9"/>
    <w:rsid w:val="0060019D"/>
    <w:rsid w:val="00605383"/>
    <w:rsid w:val="0060611D"/>
    <w:rsid w:val="00617AB2"/>
    <w:rsid w:val="0062246E"/>
    <w:rsid w:val="00626F3F"/>
    <w:rsid w:val="00630B2D"/>
    <w:rsid w:val="00672618"/>
    <w:rsid w:val="00691599"/>
    <w:rsid w:val="006C4D06"/>
    <w:rsid w:val="006D3693"/>
    <w:rsid w:val="006D556B"/>
    <w:rsid w:val="006D5DD9"/>
    <w:rsid w:val="006E0BA6"/>
    <w:rsid w:val="006E0F46"/>
    <w:rsid w:val="00702958"/>
    <w:rsid w:val="007156BD"/>
    <w:rsid w:val="00717026"/>
    <w:rsid w:val="007173A2"/>
    <w:rsid w:val="0072721F"/>
    <w:rsid w:val="007305B5"/>
    <w:rsid w:val="007352C1"/>
    <w:rsid w:val="0074050A"/>
    <w:rsid w:val="00743E58"/>
    <w:rsid w:val="00744D18"/>
    <w:rsid w:val="00757DEE"/>
    <w:rsid w:val="00780FC3"/>
    <w:rsid w:val="007816C9"/>
    <w:rsid w:val="007850E6"/>
    <w:rsid w:val="00791AE7"/>
    <w:rsid w:val="007A2666"/>
    <w:rsid w:val="007B4405"/>
    <w:rsid w:val="007B70A9"/>
    <w:rsid w:val="007C25BB"/>
    <w:rsid w:val="007C26B3"/>
    <w:rsid w:val="007D2C28"/>
    <w:rsid w:val="007E40DE"/>
    <w:rsid w:val="0080040F"/>
    <w:rsid w:val="00801F28"/>
    <w:rsid w:val="008029F3"/>
    <w:rsid w:val="00804AF9"/>
    <w:rsid w:val="008070F1"/>
    <w:rsid w:val="008077FC"/>
    <w:rsid w:val="00821C5D"/>
    <w:rsid w:val="00830C68"/>
    <w:rsid w:val="00833F8C"/>
    <w:rsid w:val="00857E4A"/>
    <w:rsid w:val="008655C1"/>
    <w:rsid w:val="00865B38"/>
    <w:rsid w:val="00866EBD"/>
    <w:rsid w:val="0087503D"/>
    <w:rsid w:val="0088557E"/>
    <w:rsid w:val="008A63E3"/>
    <w:rsid w:val="008B4FE3"/>
    <w:rsid w:val="008C4153"/>
    <w:rsid w:val="008C6536"/>
    <w:rsid w:val="008E4EA3"/>
    <w:rsid w:val="008E5C6E"/>
    <w:rsid w:val="008F436D"/>
    <w:rsid w:val="00905BFD"/>
    <w:rsid w:val="009346A9"/>
    <w:rsid w:val="009514F3"/>
    <w:rsid w:val="009576A0"/>
    <w:rsid w:val="00962E2F"/>
    <w:rsid w:val="00970165"/>
    <w:rsid w:val="00972258"/>
    <w:rsid w:val="00973D91"/>
    <w:rsid w:val="00975338"/>
    <w:rsid w:val="00986545"/>
    <w:rsid w:val="00993714"/>
    <w:rsid w:val="009978E6"/>
    <w:rsid w:val="009B2CCA"/>
    <w:rsid w:val="009B75F9"/>
    <w:rsid w:val="009B7697"/>
    <w:rsid w:val="009C0123"/>
    <w:rsid w:val="009D0293"/>
    <w:rsid w:val="009D0392"/>
    <w:rsid w:val="009D75BA"/>
    <w:rsid w:val="009E6400"/>
    <w:rsid w:val="00A02073"/>
    <w:rsid w:val="00A30659"/>
    <w:rsid w:val="00A44657"/>
    <w:rsid w:val="00A45775"/>
    <w:rsid w:val="00A52333"/>
    <w:rsid w:val="00A56594"/>
    <w:rsid w:val="00A73F8E"/>
    <w:rsid w:val="00A8382B"/>
    <w:rsid w:val="00AA4180"/>
    <w:rsid w:val="00AA605D"/>
    <w:rsid w:val="00AA67C7"/>
    <w:rsid w:val="00B125C4"/>
    <w:rsid w:val="00B130BC"/>
    <w:rsid w:val="00B20B15"/>
    <w:rsid w:val="00B26097"/>
    <w:rsid w:val="00B55727"/>
    <w:rsid w:val="00B7571C"/>
    <w:rsid w:val="00B763B5"/>
    <w:rsid w:val="00B93046"/>
    <w:rsid w:val="00BA1750"/>
    <w:rsid w:val="00BA5918"/>
    <w:rsid w:val="00BB3B07"/>
    <w:rsid w:val="00BD577E"/>
    <w:rsid w:val="00C0276B"/>
    <w:rsid w:val="00C41D2D"/>
    <w:rsid w:val="00C55EA1"/>
    <w:rsid w:val="00C65F8F"/>
    <w:rsid w:val="00C8595E"/>
    <w:rsid w:val="00CA6E53"/>
    <w:rsid w:val="00CB6814"/>
    <w:rsid w:val="00CB7D6E"/>
    <w:rsid w:val="00CC24D3"/>
    <w:rsid w:val="00CC48EF"/>
    <w:rsid w:val="00CD08A7"/>
    <w:rsid w:val="00CD1319"/>
    <w:rsid w:val="00CD44A5"/>
    <w:rsid w:val="00CE6857"/>
    <w:rsid w:val="00CE6C4C"/>
    <w:rsid w:val="00CF24CE"/>
    <w:rsid w:val="00CF7D62"/>
    <w:rsid w:val="00D15972"/>
    <w:rsid w:val="00D4094D"/>
    <w:rsid w:val="00D60DC8"/>
    <w:rsid w:val="00D62911"/>
    <w:rsid w:val="00D72AFA"/>
    <w:rsid w:val="00D81828"/>
    <w:rsid w:val="00D836ED"/>
    <w:rsid w:val="00D95297"/>
    <w:rsid w:val="00DA18D5"/>
    <w:rsid w:val="00DA385E"/>
    <w:rsid w:val="00DC1C03"/>
    <w:rsid w:val="00E0182F"/>
    <w:rsid w:val="00E07160"/>
    <w:rsid w:val="00E104FA"/>
    <w:rsid w:val="00E13B33"/>
    <w:rsid w:val="00E1573D"/>
    <w:rsid w:val="00E40388"/>
    <w:rsid w:val="00E578EF"/>
    <w:rsid w:val="00E579D6"/>
    <w:rsid w:val="00E64529"/>
    <w:rsid w:val="00E657CE"/>
    <w:rsid w:val="00E663F3"/>
    <w:rsid w:val="00E725F3"/>
    <w:rsid w:val="00E84865"/>
    <w:rsid w:val="00E8590E"/>
    <w:rsid w:val="00E86A12"/>
    <w:rsid w:val="00EA0979"/>
    <w:rsid w:val="00EA4BB1"/>
    <w:rsid w:val="00EA5224"/>
    <w:rsid w:val="00EA5B49"/>
    <w:rsid w:val="00EC5F9E"/>
    <w:rsid w:val="00EC68B7"/>
    <w:rsid w:val="00ED404F"/>
    <w:rsid w:val="00ED64A5"/>
    <w:rsid w:val="00EE651A"/>
    <w:rsid w:val="00F030A6"/>
    <w:rsid w:val="00F050ED"/>
    <w:rsid w:val="00F0738B"/>
    <w:rsid w:val="00F272AA"/>
    <w:rsid w:val="00F362E3"/>
    <w:rsid w:val="00F37D4E"/>
    <w:rsid w:val="00F5728F"/>
    <w:rsid w:val="00F7785B"/>
    <w:rsid w:val="00F818FE"/>
    <w:rsid w:val="00F86445"/>
    <w:rsid w:val="00F95ABF"/>
    <w:rsid w:val="00F9722C"/>
    <w:rsid w:val="00FA03BB"/>
    <w:rsid w:val="00FA3230"/>
    <w:rsid w:val="00FC0258"/>
    <w:rsid w:val="00FE0DC1"/>
    <w:rsid w:val="00FE4D4B"/>
    <w:rsid w:val="00FE56B2"/>
    <w:rsid w:val="00FE5745"/>
    <w:rsid w:val="00FE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06F0AF9-F210-4967-807B-BB6929342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8F43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26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F436D"/>
    <w:pPr>
      <w:keepNext/>
      <w:keepLines/>
      <w:spacing w:before="200" w:after="0"/>
      <w:ind w:left="1440"/>
      <w:outlineLvl w:val="2"/>
    </w:pPr>
    <w:rPr>
      <w:rFonts w:asciiTheme="majorHAnsi" w:eastAsiaTheme="majorEastAsia" w:hAnsiTheme="majorHAnsi" w:cstheme="majorBidi"/>
      <w:b/>
      <w:bCs/>
      <w:color w:val="285B60" w:themeColor="accent2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05383"/>
    <w:pPr>
      <w:ind w:left="720"/>
      <w:contextualSpacing/>
    </w:pPr>
  </w:style>
  <w:style w:type="paragraph" w:customStyle="1" w:styleId="Default">
    <w:name w:val="Default"/>
    <w:rsid w:val="00781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C"/>
    </w:rPr>
  </w:style>
  <w:style w:type="paragraph" w:styleId="NormalWeb">
    <w:name w:val="Normal (Web)"/>
    <w:basedOn w:val="Normal"/>
    <w:uiPriority w:val="99"/>
    <w:semiHidden/>
    <w:unhideWhenUsed/>
    <w:rsid w:val="00A565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E1573D"/>
  </w:style>
  <w:style w:type="character" w:styleId="Hipervnculo">
    <w:name w:val="Hyperlink"/>
    <w:basedOn w:val="Fuentedeprrafopredeter"/>
    <w:uiPriority w:val="99"/>
    <w:unhideWhenUsed/>
    <w:rsid w:val="00E1573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03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381503"/>
    <w:pPr>
      <w:spacing w:line="240" w:lineRule="auto"/>
    </w:pPr>
    <w:rPr>
      <w:b/>
      <w:bCs/>
      <w:color w:val="98C723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67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8F436D"/>
    <w:rPr>
      <w:rFonts w:asciiTheme="majorHAnsi" w:eastAsiaTheme="majorEastAsia" w:hAnsiTheme="majorHAnsi" w:cstheme="majorBidi"/>
      <w:b/>
      <w:bCs/>
      <w:sz w:val="28"/>
      <w:szCs w:val="28"/>
      <w:lang w:val="es-EC"/>
    </w:rPr>
  </w:style>
  <w:style w:type="character" w:customStyle="1" w:styleId="Ttulo2Car">
    <w:name w:val="Título 2 Car"/>
    <w:basedOn w:val="Fuentedeprrafopredeter"/>
    <w:link w:val="Ttulo2"/>
    <w:uiPriority w:val="9"/>
    <w:rsid w:val="004F269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F436D"/>
    <w:rPr>
      <w:rFonts w:asciiTheme="majorHAnsi" w:eastAsiaTheme="majorEastAsia" w:hAnsiTheme="majorHAnsi" w:cstheme="majorBidi"/>
      <w:b/>
      <w:bCs/>
      <w:color w:val="285B60" w:themeColor="accent2" w:themeShade="80"/>
      <w:lang w:val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23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230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FA3230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4E015A"/>
    <w:pPr>
      <w:outlineLvl w:val="9"/>
    </w:pPr>
    <w:rPr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4E015A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4E015A"/>
    <w:pPr>
      <w:spacing w:after="100"/>
      <w:ind w:left="440"/>
    </w:pPr>
  </w:style>
  <w:style w:type="paragraph" w:styleId="TDC2">
    <w:name w:val="toc 2"/>
    <w:basedOn w:val="Normal"/>
    <w:next w:val="Normal"/>
    <w:autoRedefine/>
    <w:uiPriority w:val="39"/>
    <w:unhideWhenUsed/>
    <w:rsid w:val="004E015A"/>
    <w:pPr>
      <w:spacing w:after="100"/>
      <w:ind w:left="220"/>
    </w:pPr>
  </w:style>
  <w:style w:type="table" w:styleId="Cuadrculaclara-nfasis4">
    <w:name w:val="Light Grid Accent 4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B77BB4" w:themeColor="accent4"/>
        <w:left w:val="single" w:sz="8" w:space="0" w:color="B77BB4" w:themeColor="accent4"/>
        <w:bottom w:val="single" w:sz="8" w:space="0" w:color="B77BB4" w:themeColor="accent4"/>
        <w:right w:val="single" w:sz="8" w:space="0" w:color="B77BB4" w:themeColor="accent4"/>
        <w:insideH w:val="single" w:sz="8" w:space="0" w:color="B77BB4" w:themeColor="accent4"/>
        <w:insideV w:val="single" w:sz="8" w:space="0" w:color="B77BB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1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</w:tcPr>
    </w:tblStylePr>
    <w:tblStylePr w:type="band1Vert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  <w:shd w:val="clear" w:color="auto" w:fill="EDDEEC" w:themeFill="accent4" w:themeFillTint="3F"/>
      </w:tcPr>
    </w:tblStylePr>
    <w:tblStylePr w:type="band1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  <w:shd w:val="clear" w:color="auto" w:fill="EDDEEC" w:themeFill="accent4" w:themeFillTint="3F"/>
      </w:tcPr>
    </w:tblStylePr>
    <w:tblStylePr w:type="band2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E0773C" w:themeColor="accent5"/>
        <w:left w:val="single" w:sz="8" w:space="0" w:color="E0773C" w:themeColor="accent5"/>
        <w:bottom w:val="single" w:sz="8" w:space="0" w:color="E0773C" w:themeColor="accent5"/>
        <w:right w:val="single" w:sz="8" w:space="0" w:color="E0773C" w:themeColor="accent5"/>
        <w:insideH w:val="single" w:sz="8" w:space="0" w:color="E0773C" w:themeColor="accent5"/>
        <w:insideV w:val="single" w:sz="8" w:space="0" w:color="E0773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1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</w:tcPr>
    </w:tblStylePr>
    <w:tblStylePr w:type="band1Vert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  <w:shd w:val="clear" w:color="auto" w:fill="F7DDCE" w:themeFill="accent5" w:themeFillTint="3F"/>
      </w:tcPr>
    </w:tblStylePr>
    <w:tblStylePr w:type="band1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  <w:shd w:val="clear" w:color="auto" w:fill="F7DDCE" w:themeFill="accent5" w:themeFillTint="3F"/>
      </w:tcPr>
    </w:tblStylePr>
    <w:tblStylePr w:type="band2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</w:tcPr>
    </w:tblStylePr>
  </w:style>
  <w:style w:type="table" w:styleId="Cuadrculaclara-nfasis1">
    <w:name w:val="Light Grid Accent 1"/>
    <w:basedOn w:val="Tablanormal"/>
    <w:uiPriority w:val="62"/>
    <w:rsid w:val="007A2666"/>
    <w:pPr>
      <w:spacing w:after="0" w:line="240" w:lineRule="auto"/>
    </w:pPr>
    <w:tblPr>
      <w:tblStyleRowBandSize w:val="1"/>
      <w:tblStyleColBandSize w:val="1"/>
      <w:tblBorders>
        <w:top w:val="single" w:sz="8" w:space="0" w:color="98C723" w:themeColor="accent1"/>
        <w:left w:val="single" w:sz="8" w:space="0" w:color="98C723" w:themeColor="accent1"/>
        <w:bottom w:val="single" w:sz="8" w:space="0" w:color="98C723" w:themeColor="accent1"/>
        <w:right w:val="single" w:sz="8" w:space="0" w:color="98C723" w:themeColor="accent1"/>
        <w:insideH w:val="single" w:sz="8" w:space="0" w:color="98C723" w:themeColor="accent1"/>
        <w:insideV w:val="single" w:sz="8" w:space="0" w:color="98C72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1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</w:tcPr>
    </w:tblStylePr>
    <w:tblStylePr w:type="band1Vert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  <w:shd w:val="clear" w:color="auto" w:fill="E6F4C4" w:themeFill="accent1" w:themeFillTint="3F"/>
      </w:tcPr>
    </w:tblStylePr>
    <w:tblStylePr w:type="band1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  <w:shd w:val="clear" w:color="auto" w:fill="E6F4C4" w:themeFill="accent1" w:themeFillTint="3F"/>
      </w:tcPr>
    </w:tblStylePr>
    <w:tblStylePr w:type="band2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0E586A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eastAsia="es-EC"/>
    </w:rPr>
  </w:style>
  <w:style w:type="character" w:customStyle="1" w:styleId="PuestoCar">
    <w:name w:val="Puesto Car"/>
    <w:basedOn w:val="Fuentedeprrafopredeter"/>
    <w:link w:val="Puesto"/>
    <w:uiPriority w:val="10"/>
    <w:rsid w:val="000E586A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val="es-EC" w:eastAsia="es-EC"/>
    </w:rPr>
  </w:style>
  <w:style w:type="paragraph" w:styleId="Subttulo">
    <w:name w:val="Subtitle"/>
    <w:basedOn w:val="Normal"/>
    <w:next w:val="Normal"/>
    <w:link w:val="SubttuloCar"/>
    <w:uiPriority w:val="11"/>
    <w:qFormat/>
    <w:rsid w:val="000E586A"/>
    <w:pPr>
      <w:numPr>
        <w:ilvl w:val="1"/>
      </w:numPr>
    </w:pPr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eastAsia="es-EC"/>
    </w:rPr>
  </w:style>
  <w:style w:type="character" w:customStyle="1" w:styleId="SubttuloCar">
    <w:name w:val="Subtítulo Car"/>
    <w:basedOn w:val="Fuentedeprrafopredeter"/>
    <w:link w:val="Subttulo"/>
    <w:uiPriority w:val="11"/>
    <w:rsid w:val="000E586A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val="es-EC" w:eastAsia="es-EC"/>
    </w:rPr>
  </w:style>
  <w:style w:type="paragraph" w:styleId="Sinespaciado">
    <w:name w:val="No Spacing"/>
    <w:link w:val="SinespaciadoCar"/>
    <w:uiPriority w:val="1"/>
    <w:qFormat/>
    <w:rsid w:val="000E586A"/>
    <w:pPr>
      <w:spacing w:after="0" w:line="240" w:lineRule="auto"/>
    </w:pPr>
    <w:rPr>
      <w:rFonts w:eastAsiaTheme="minorEastAsia"/>
      <w:lang w:val="es-EC" w:eastAsia="es-EC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586A"/>
    <w:rPr>
      <w:rFonts w:eastAsiaTheme="minorEastAsia"/>
      <w:lang w:val="es-EC" w:eastAsia="es-EC"/>
    </w:rPr>
  </w:style>
  <w:style w:type="paragraph" w:styleId="Encabezado">
    <w:name w:val="header"/>
    <w:basedOn w:val="Normal"/>
    <w:link w:val="Encabezado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3693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3693"/>
    <w:rPr>
      <w:lang w:val="es-EC"/>
    </w:rPr>
  </w:style>
  <w:style w:type="paragraph" w:styleId="Bibliografa">
    <w:name w:val="Bibliography"/>
    <w:basedOn w:val="Normal"/>
    <w:next w:val="Normal"/>
    <w:uiPriority w:val="37"/>
    <w:unhideWhenUsed/>
    <w:rsid w:val="00FE7498"/>
  </w:style>
  <w:style w:type="character" w:styleId="Refdecomentario">
    <w:name w:val="annotation reference"/>
    <w:basedOn w:val="Fuentedeprrafopredeter"/>
    <w:uiPriority w:val="99"/>
    <w:semiHidden/>
    <w:unhideWhenUsed/>
    <w:rsid w:val="006D5DD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6D5DD9"/>
    <w:pPr>
      <w:spacing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6D5DD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6D5DD9"/>
    <w:pPr>
      <w:spacing w:line="240" w:lineRule="auto"/>
    </w:pPr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6D5DD9"/>
    <w:rPr>
      <w:sz w:val="20"/>
      <w:szCs w:val="20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4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4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21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4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3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1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CES10</b:Tag>
    <b:SourceType>Book</b:SourceType>
    <b:Guid>{A557B949-26CD-4FF8-8F7C-4F9B5CCBC6EB}</b:Guid>
    <b:Title>Ley Orgánica de Educación Superior</b:Title>
    <b:Year>2010</b:Year>
    <b:Author>
      <b:Author>
        <b:NameList>
          <b:Person>
            <b:Last>CES</b:Last>
          </b:Person>
        </b:NameList>
      </b:Author>
    </b:Author>
    <b:City>Quito</b:City>
    <b:Publisher>Gobierno Ecuatoriano</b:Publisher>
    <b:RefOrder>1</b:RefOrder>
  </b:Source>
  <b:Source>
    <b:Tag>CON09</b:Tag>
    <b:SourceType>Book</b:SourceType>
    <b:Guid>{BFBC7292-A663-418E-BDA6-EE5CE492E36E}</b:Guid>
    <b:Author>
      <b:Author>
        <b:NameList>
          <b:Person>
            <b:Last>CONSEP</b:Last>
          </b:Person>
        </b:NameList>
      </b:Author>
    </b:Author>
    <b:Title>Reglamento de Régimen Académico</b:Title>
    <b:Year>2009</b:Year>
    <b:City>Quito</b:City>
    <b:Publisher>Consejo Nacional de Educación Superior y Escuelas Politécnicas</b:Publisher>
    <b:RefOrder>2</b:RefOrder>
  </b:Source>
  <b:Source>
    <b:Tag>SNI12</b:Tag>
    <b:SourceType>Book</b:SourceType>
    <b:Guid>{D78AD2C3-5A23-4376-9A0F-343FDE4957C7}</b:Guid>
    <b:Author>
      <b:Author>
        <b:NameList>
          <b:Person>
            <b:Last>SNIESE</b:Last>
          </b:Person>
        </b:NameList>
      </b:Author>
    </b:Author>
    <b:Title>Sistema de Nacional de Información de Educación Superior</b:Title>
    <b:Year>2012</b:Year>
    <b:City>Quito</b:City>
    <b:Publisher>CEAACES</b:Publisher>
    <b:RefOrder>4</b:RefOrder>
  </b:Source>
  <b:Source xmlns:b="http://schemas.openxmlformats.org/officeDocument/2006/bibliography">
    <b:Tag>CES13</b:Tag>
    <b:SourceType>Book</b:SourceType>
    <b:Guid>{A9737349-50C2-4721-B9A3-0B70103526E0}</b:Guid>
    <b:Author>
      <b:Author>
        <b:NameList>
          <b:Person>
            <b:Last>CES</b:Last>
          </b:Person>
        </b:NameList>
      </b:Author>
    </b:Author>
    <b:Title>Reglamento de Carrera y Escalafón del Profesor  e Investigador</b:Title>
    <b:Year>2013</b:Year>
    <b:City>Quito</b:City>
    <b:Publisher>Consejo de Educación Superior</b:Publisher>
    <b:RefOrder>3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4EBC3D-0344-46A0-BEC1-8AFBF1EFD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85CA8C-CAB5-4987-BFBE-17AC8A1C98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F8432-897F-4A68-AFD5-78F55DA22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74AF1A8-996E-4924-B745-0F664C507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AGENDAS ZONALES: TENSIONES Y PROBLEMAS PNBV</vt:lpstr>
    </vt:vector>
  </TitlesOfParts>
  <Company>ESPOL</Company>
  <LinksUpToDate>false</LinksUpToDate>
  <CharactersWithSpaces>9090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OBJETIVOS Y METAS DEL BUEN VIVIR</dc:title>
  <dc:subject>ANEXO 2</dc:subject>
  <dc:creator>Adeyla</dc:creator>
  <cp:lastModifiedBy>Noemi Elizabeth Lavid Cedeno</cp:lastModifiedBy>
  <cp:revision>3</cp:revision>
  <cp:lastPrinted>2013-11-06T19:43:00Z</cp:lastPrinted>
  <dcterms:created xsi:type="dcterms:W3CDTF">2015-08-03T17:46:00Z</dcterms:created>
  <dcterms:modified xsi:type="dcterms:W3CDTF">2015-08-11T20:15:00Z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