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/>
        </w:rPr>
        <w:id w:val="1844894135"/>
        <w:docPartObj>
          <w:docPartGallery w:val="Cover Pages"/>
          <w:docPartUnique/>
        </w:docPartObj>
      </w:sdtPr>
      <w:sdtEndPr>
        <w:rPr>
          <w:rFonts w:ascii="Times New Roman" w:hAnsi="Times New Roman"/>
          <w:b/>
          <w:bCs/>
          <w:sz w:val="10"/>
          <w:szCs w:val="10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656"/>
            <w:gridCol w:w="10785"/>
          </w:tblGrid>
          <w:tr w:rsidR="00353A8A" w14:paraId="6E08FB25" w14:textId="77777777" w:rsidTr="00B925A2">
            <w:trPr>
              <w:trHeight w:val="1455"/>
            </w:trPr>
            <w:tc>
              <w:tcPr>
                <w:tcW w:w="1656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14:paraId="6BC73F7F" w14:textId="77777777" w:rsidR="00353A8A" w:rsidRPr="003822FD" w:rsidRDefault="00353A8A" w:rsidP="00AA06F4">
                <w:pPr>
                  <w:spacing w:after="0" w:line="276" w:lineRule="auto"/>
                  <w:rPr>
                    <w:rFonts w:asciiTheme="minorHAnsi" w:hAnsiTheme="minorHAnsi"/>
                  </w:rPr>
                </w:pPr>
              </w:p>
            </w:tc>
            <w:tc>
              <w:tcPr>
                <w:tcW w:w="10785" w:type="dxa"/>
                <w:tcBorders>
                  <w:left w:val="single" w:sz="4" w:space="0" w:color="FFFFFF" w:themeColor="background1"/>
                </w:tcBorders>
                <w:shd w:val="clear" w:color="auto" w:fill="3C8890" w:themeFill="accent2" w:themeFillShade="BF"/>
                <w:vAlign w:val="bottom"/>
              </w:tcPr>
              <w:p w14:paraId="55DBD862" w14:textId="77777777" w:rsidR="00353A8A" w:rsidRPr="003822FD" w:rsidRDefault="00B925A2" w:rsidP="00AA06F4">
                <w:pPr>
                  <w:pStyle w:val="Sinespaciado"/>
                  <w:spacing w:line="276" w:lineRule="auto"/>
                  <w:rPr>
                    <w:rFonts w:eastAsiaTheme="majorEastAsia" w:cstheme="majorBidi"/>
                    <w:b/>
                    <w:bCs/>
                    <w:color w:val="FFFFFF" w:themeColor="background1"/>
                    <w:sz w:val="72"/>
                    <w:szCs w:val="72"/>
                  </w:rPr>
                </w:pPr>
                <w:r>
                  <w:rPr>
                    <w:rFonts w:eastAsiaTheme="majorEastAsia" w:cstheme="majorBidi"/>
                    <w:b/>
                    <w:bCs/>
                    <w:color w:val="FFFFFF" w:themeColor="background1"/>
                    <w:sz w:val="72"/>
                    <w:szCs w:val="72"/>
                  </w:rPr>
                  <w:t>UVS-2015</w:t>
                </w:r>
              </w:p>
            </w:tc>
          </w:tr>
          <w:tr w:rsidR="00353A8A" w14:paraId="7867BFF1" w14:textId="77777777" w:rsidTr="00B925A2">
            <w:trPr>
              <w:trHeight w:val="2911"/>
            </w:trPr>
            <w:tc>
              <w:tcPr>
                <w:tcW w:w="1656" w:type="dxa"/>
                <w:tcBorders>
                  <w:right w:val="single" w:sz="4" w:space="0" w:color="000000" w:themeColor="text1"/>
                </w:tcBorders>
              </w:tcPr>
              <w:p w14:paraId="6997A895" w14:textId="77777777" w:rsidR="00353A8A" w:rsidRDefault="00353A8A" w:rsidP="00AA06F4">
                <w:pPr>
                  <w:spacing w:after="0" w:line="276" w:lineRule="auto"/>
                </w:pPr>
              </w:p>
            </w:tc>
            <w:tc>
              <w:tcPr>
                <w:tcW w:w="10785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14:paraId="7A2B5CED" w14:textId="77777777" w:rsidR="00353A8A" w:rsidRPr="00096913" w:rsidRDefault="00F16DB7" w:rsidP="00AA06F4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</w:pPr>
                    <w:r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14:paraId="6C98F984" w14:textId="77777777" w:rsidR="001E6707" w:rsidRPr="00B925A2" w:rsidRDefault="001E6707" w:rsidP="00AA06F4">
                <w:pPr>
                  <w:pStyle w:val="Sinespaciado"/>
                  <w:spacing w:line="276" w:lineRule="auto"/>
                  <w:rPr>
                    <w:color w:val="000000" w:themeColor="text1"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2814"/>
                  <w:tblW w:w="4627" w:type="pct"/>
                  <w:tblLook w:val="04A0" w:firstRow="1" w:lastRow="0" w:firstColumn="1" w:lastColumn="0" w:noHBand="0" w:noVBand="1"/>
                </w:tblPr>
                <w:tblGrid>
                  <w:gridCol w:w="9781"/>
                </w:tblGrid>
                <w:tr w:rsidR="00B925A2" w14:paraId="499FB2B3" w14:textId="77777777" w:rsidTr="00655734">
                  <w:tc>
                    <w:tcPr>
                      <w:tcW w:w="5000" w:type="pct"/>
                    </w:tcPr>
                    <w:p w14:paraId="43A91BE3" w14:textId="13BBA7E4" w:rsidR="00B925A2" w:rsidRPr="00655734" w:rsidRDefault="00B925A2" w:rsidP="00AA06F4">
                      <w:pPr>
                        <w:pStyle w:val="Sinespaciado"/>
                        <w:spacing w:line="276" w:lineRule="auto"/>
                        <w:rPr>
                          <w:b/>
                          <w:bCs/>
                          <w:caps/>
                          <w:sz w:val="120"/>
                          <w:szCs w:val="120"/>
                        </w:rPr>
                      </w:pPr>
                      <w:r w:rsidRPr="00655734">
                        <w:rPr>
                          <w:b/>
                          <w:bCs/>
                          <w:caps/>
                          <w:color w:val="A68100" w:themeColor="accent3" w:themeShade="BF"/>
                          <w:sz w:val="120"/>
                          <w:szCs w:val="12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40"/>
                            <w:szCs w:val="4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655734" w:rsidRPr="00240C41">
                            <w:rPr>
                              <w:b/>
                              <w:bCs/>
                              <w:caps/>
                              <w:sz w:val="40"/>
                              <w:szCs w:val="40"/>
                            </w:rPr>
                            <w:t>lineamientos DE VINCULACIÓN CON LA SOCIEDAD</w:t>
                          </w:r>
                          <w:r w:rsidR="00240C41">
                            <w:rPr>
                              <w:b/>
                              <w:bCs/>
                              <w:caps/>
                              <w:sz w:val="40"/>
                              <w:szCs w:val="40"/>
                            </w:rPr>
                            <w:t>.- PROGRAMAS</w:t>
                          </w:r>
                        </w:sdtContent>
                      </w:sdt>
                      <w:r w:rsidRPr="00655734">
                        <w:rPr>
                          <w:b/>
                          <w:bCs/>
                          <w:caps/>
                          <w:color w:val="A68100" w:themeColor="accent3" w:themeShade="BF"/>
                          <w:sz w:val="120"/>
                          <w:szCs w:val="120"/>
                          <w:lang w:val="es-ES"/>
                        </w:rPr>
                        <w:t>]</w:t>
                      </w:r>
                    </w:p>
                  </w:tc>
                </w:tr>
                <w:tr w:rsidR="00B925A2" w14:paraId="5E25FD3E" w14:textId="77777777" w:rsidTr="00CC08B4">
                  <w:trPr>
                    <w:trHeight w:val="1326"/>
                  </w:trPr>
                  <w:sdt>
                    <w:sdtPr>
                      <w:rPr>
                        <w:color w:val="808080" w:themeColor="background1" w:themeShade="80"/>
                        <w:szCs w:val="24"/>
                      </w:rPr>
                      <w:alias w:val="Descripción breve"/>
                      <w:id w:val="15676143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5000" w:type="pct"/>
                        </w:tcPr>
                        <w:p w14:paraId="0E9751B3" w14:textId="31B53E61" w:rsidR="00B925A2" w:rsidRDefault="00BB20D5" w:rsidP="00BB20D5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color w:val="808080" w:themeColor="background1" w:themeShade="80"/>
                            </w:rPr>
                          </w:pPr>
                          <w:r w:rsidRPr="00BB20D5">
                            <w:rPr>
                              <w:color w:val="808080" w:themeColor="background1" w:themeShade="80"/>
                              <w:szCs w:val="24"/>
                            </w:rPr>
                            <w:t>Versión # 4 de los Lineamientos de Vinculación con la Sociedad,  aprobado en Comisión de Vinculación con la Sociedad, el día 24 junio 2015</w:t>
                          </w:r>
                          <w:r>
                            <w:rPr>
                              <w:color w:val="808080" w:themeColor="background1" w:themeShade="80"/>
                              <w:szCs w:val="24"/>
                            </w:rPr>
                            <w:t xml:space="preserve">. Documento </w:t>
                          </w:r>
                          <w:r w:rsidRPr="00BB20D5">
                            <w:rPr>
                              <w:color w:val="808080" w:themeColor="background1" w:themeShade="80"/>
                              <w:szCs w:val="24"/>
                            </w:rPr>
                            <w:t>elaborado por Noemí Lavid, Aleyda Quinteros y Denise Rodríguez, para la aprobación de programas, proyectos, servicios y actividades específicas de Vinculación con la Sociedad</w:t>
                          </w:r>
                          <w:r>
                            <w:rPr>
                              <w:color w:val="808080" w:themeColor="background1" w:themeShade="80"/>
                              <w:szCs w:val="24"/>
                            </w:rPr>
                            <w:t>.</w:t>
                          </w:r>
                        </w:p>
                      </w:tc>
                    </w:sdtContent>
                  </w:sdt>
                </w:tr>
              </w:tbl>
              <w:p w14:paraId="72711CB8" w14:textId="77777777" w:rsidR="00353A8A" w:rsidRDefault="00353A8A" w:rsidP="00AA06F4">
                <w:pPr>
                  <w:pStyle w:val="Sinespaciado"/>
                  <w:spacing w:line="276" w:lineRule="auto"/>
                  <w:jc w:val="center"/>
                  <w:rPr>
                    <w:color w:val="A68100" w:themeColor="accent3" w:themeShade="BF"/>
                  </w:rPr>
                </w:pPr>
              </w:p>
            </w:tc>
          </w:tr>
        </w:tbl>
        <w:p w14:paraId="3F3B7F8E" w14:textId="77777777" w:rsidR="00353A8A" w:rsidRPr="00655734" w:rsidRDefault="00353A8A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68993FED" w14:textId="77777777" w:rsidR="00353A8A" w:rsidRPr="00655734" w:rsidRDefault="00353A8A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5A366307" w14:textId="77777777" w:rsidR="00353A8A" w:rsidRDefault="00353A8A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7381EE03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5A94ED90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4E73E609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p w14:paraId="4F4CC90D" w14:textId="77777777" w:rsidR="00655734" w:rsidRDefault="00655734" w:rsidP="00AA06F4">
          <w:pPr>
            <w:spacing w:after="0" w:line="276" w:lineRule="auto"/>
            <w:ind w:left="0"/>
            <w:rPr>
              <w:rFonts w:eastAsiaTheme="minorEastAsia"/>
              <w:lang w:eastAsia="es-EC"/>
            </w:rPr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14:paraId="4FC9D322" w14:textId="77777777" w:rsidR="00655734" w:rsidRPr="000C6E02" w:rsidRDefault="00ED7284" w:rsidP="00AA06F4">
              <w:pPr>
                <w:pStyle w:val="Sinespaciado"/>
                <w:spacing w:line="276" w:lineRule="auto"/>
                <w:rPr>
                  <w:rFonts w:ascii="Times New Roman" w:eastAsiaTheme="minorHAnsi" w:hAnsi="Times New Roman"/>
                  <w:b/>
                  <w:sz w:val="100"/>
                  <w:szCs w:val="100"/>
                  <w:lang w:eastAsia="en-US"/>
                </w:rPr>
              </w:pPr>
              <w:r>
                <w:rPr>
                  <w:b/>
                  <w:sz w:val="100"/>
                  <w:szCs w:val="100"/>
                </w:rPr>
                <w:t>U</w:t>
              </w:r>
              <w:r w:rsidR="00655734">
                <w:rPr>
                  <w:b/>
                  <w:sz w:val="100"/>
                  <w:szCs w:val="100"/>
                </w:rPr>
                <w:t>VS-</w:t>
              </w:r>
              <w:r>
                <w:rPr>
                  <w:b/>
                  <w:sz w:val="100"/>
                  <w:szCs w:val="100"/>
                </w:rPr>
                <w:t>2015</w:t>
              </w:r>
            </w:p>
          </w:sdtContent>
        </w:sdt>
        <w:p w14:paraId="1A151FA6" w14:textId="148E6629" w:rsidR="001A4DB9" w:rsidRPr="00240C41" w:rsidRDefault="009F7941" w:rsidP="00240C41">
          <w:pPr>
            <w:spacing w:after="0" w:line="276" w:lineRule="auto"/>
            <w:ind w:left="0"/>
            <w:jc w:val="left"/>
            <w:rPr>
              <w:b/>
              <w:bCs/>
              <w:sz w:val="10"/>
              <w:szCs w:val="10"/>
            </w:rPr>
          </w:pPr>
        </w:p>
      </w:sdtContent>
    </w:sdt>
    <w:p w14:paraId="7AEE4BD5" w14:textId="77777777" w:rsidR="00BD5EA7" w:rsidRDefault="00BD5EA7" w:rsidP="00AA06F4">
      <w:pPr>
        <w:spacing w:after="0" w:line="276" w:lineRule="auto"/>
        <w:ind w:left="0"/>
        <w:jc w:val="left"/>
        <w:rPr>
          <w:rFonts w:eastAsiaTheme="majorEastAsia" w:cs="Times New Roman"/>
          <w:b/>
          <w:bCs/>
          <w:spacing w:val="5"/>
          <w:kern w:val="28"/>
          <w:szCs w:val="24"/>
          <w:lang w:eastAsia="es-EC"/>
        </w:rPr>
      </w:pPr>
    </w:p>
    <w:p w14:paraId="57B94CAA" w14:textId="77777777" w:rsidR="007F7410" w:rsidRDefault="007F7410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after="240" w:line="276" w:lineRule="auto"/>
        <w:ind w:left="360"/>
        <w:rPr>
          <w:szCs w:val="28"/>
        </w:rPr>
        <w:sectPr w:rsidR="007F7410" w:rsidSect="00630ECC">
          <w:headerReference w:type="default" r:id="rId12"/>
          <w:footerReference w:type="default" r:id="rId13"/>
          <w:footerReference w:type="first" r:id="rId14"/>
          <w:pgSz w:w="12240" w:h="15840"/>
          <w:pgMar w:top="1134" w:right="1440" w:bottom="1134" w:left="1440" w:header="425" w:footer="125" w:gutter="0"/>
          <w:pgNumType w:start="0"/>
          <w:cols w:space="708"/>
          <w:titlePg/>
          <w:docGrid w:linePitch="360"/>
        </w:sectPr>
      </w:pPr>
    </w:p>
    <w:p w14:paraId="3A748040" w14:textId="3B942A93" w:rsidR="003D70E3" w:rsidRPr="00AA06F4" w:rsidRDefault="0046531A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after="240" w:line="276" w:lineRule="auto"/>
        <w:ind w:left="360"/>
        <w:rPr>
          <w:szCs w:val="28"/>
        </w:rPr>
      </w:pPr>
      <w:bookmarkStart w:id="0" w:name="_Toc430869277"/>
      <w:r w:rsidRPr="00AA06F4">
        <w:rPr>
          <w:szCs w:val="28"/>
        </w:rPr>
        <w:lastRenderedPageBreak/>
        <w:t>MODELO DE VINCULACIÓN CON LA SOCIEDAD</w:t>
      </w:r>
      <w:bookmarkEnd w:id="0"/>
    </w:p>
    <w:p w14:paraId="2268F583" w14:textId="2E0262C6" w:rsidR="00930468" w:rsidRDefault="00E04D5A" w:rsidP="005F6CEA">
      <w:pPr>
        <w:spacing w:after="0" w:line="276" w:lineRule="auto"/>
        <w:ind w:left="0"/>
        <w:jc w:val="center"/>
        <w:rPr>
          <w:b/>
          <w:bCs/>
        </w:rPr>
      </w:pPr>
      <w:r>
        <w:rPr>
          <w:noProof/>
          <w:lang w:eastAsia="es-EC"/>
        </w:rPr>
        <w:drawing>
          <wp:inline distT="0" distB="0" distL="0" distR="0" wp14:anchorId="2C941A60" wp14:editId="48C4A38D">
            <wp:extent cx="8110220" cy="5414010"/>
            <wp:effectExtent l="0" t="0" r="5080" b="0"/>
            <wp:docPr id="3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220" cy="541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29064A" w:rsidRPr="0029064A">
        <w:t xml:space="preserve"> </w:t>
      </w:r>
      <w:r w:rsidR="00930468">
        <w:br w:type="page"/>
      </w:r>
    </w:p>
    <w:p w14:paraId="4758A477" w14:textId="77777777" w:rsidR="007F7410" w:rsidRDefault="007F7410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before="240" w:after="240" w:line="276" w:lineRule="auto"/>
        <w:ind w:left="360"/>
        <w:rPr>
          <w:szCs w:val="28"/>
        </w:rPr>
        <w:sectPr w:rsidR="007F7410" w:rsidSect="00B93F2C">
          <w:pgSz w:w="15840" w:h="12240" w:orient="landscape"/>
          <w:pgMar w:top="1440" w:right="1134" w:bottom="1440" w:left="1134" w:header="425" w:footer="125" w:gutter="0"/>
          <w:cols w:space="708"/>
          <w:docGrid w:linePitch="360"/>
        </w:sectPr>
      </w:pPr>
    </w:p>
    <w:p w14:paraId="2F9F6966" w14:textId="33BF276F" w:rsidR="001F7A53" w:rsidRDefault="001F7A53" w:rsidP="00856AF5">
      <w:pPr>
        <w:pStyle w:val="Ttulo1"/>
        <w:numPr>
          <w:ilvl w:val="0"/>
          <w:numId w:val="23"/>
        </w:numPr>
        <w:pBdr>
          <w:bottom w:val="single" w:sz="8" w:space="5" w:color="98C723" w:themeColor="accent1"/>
        </w:pBdr>
        <w:spacing w:before="240" w:after="240" w:line="276" w:lineRule="auto"/>
        <w:ind w:left="360"/>
        <w:rPr>
          <w:szCs w:val="28"/>
        </w:rPr>
      </w:pPr>
      <w:bookmarkStart w:id="2" w:name="_Toc430869278"/>
      <w:r>
        <w:rPr>
          <w:szCs w:val="28"/>
        </w:rPr>
        <w:lastRenderedPageBreak/>
        <w:t>PROGRAMAS DE VINCULACION CON LA SOCIEDAD</w:t>
      </w:r>
      <w:bookmarkEnd w:id="2"/>
    </w:p>
    <w:p w14:paraId="119B3A7C" w14:textId="2486C585" w:rsidR="001F7A53" w:rsidRDefault="006223B8" w:rsidP="001F7A53">
      <w:pPr>
        <w:spacing w:after="0" w:line="276" w:lineRule="auto"/>
        <w:ind w:left="426"/>
      </w:pPr>
      <w:r>
        <w:rPr>
          <w:rFonts w:cs="Times New Roman"/>
        </w:rPr>
        <w:t>Un p</w:t>
      </w:r>
      <w:r w:rsidR="001F7A53">
        <w:rPr>
          <w:rFonts w:cs="Times New Roman"/>
        </w:rPr>
        <w:t>rograma es un conjunto de proyectos y/o servicios que persiguen los mismos objetivos, que pueden diferenciarse por trabajar con poblaciones diferentes y/o utilizar distintas estrategias de intervención</w:t>
      </w:r>
      <w:r w:rsidR="00874B2C">
        <w:rPr>
          <w:rFonts w:cs="Times New Roman"/>
        </w:rPr>
        <w:t xml:space="preserve"> </w:t>
      </w:r>
      <w:sdt>
        <w:sdtPr>
          <w:rPr>
            <w:rFonts w:cs="Times New Roman"/>
          </w:rPr>
          <w:id w:val="199060930"/>
          <w:citation/>
        </w:sdtPr>
        <w:sdtEndPr/>
        <w:sdtContent>
          <w:r w:rsidR="00874B2C">
            <w:rPr>
              <w:rFonts w:cs="Times New Roman"/>
            </w:rPr>
            <w:fldChar w:fldCharType="begin"/>
          </w:r>
          <w:r w:rsidR="00874B2C">
            <w:rPr>
              <w:rFonts w:cs="Times New Roman"/>
            </w:rPr>
            <w:instrText xml:space="preserve"> CITATION Ern04 \l 12298 </w:instrText>
          </w:r>
          <w:r w:rsidR="00874B2C">
            <w:rPr>
              <w:rFonts w:cs="Times New Roman"/>
            </w:rPr>
            <w:fldChar w:fldCharType="separate"/>
          </w:r>
          <w:r w:rsidR="00874B2C" w:rsidRPr="00874B2C">
            <w:rPr>
              <w:rFonts w:cs="Times New Roman"/>
              <w:noProof/>
            </w:rPr>
            <w:t>(Cohen &amp; Martínez, 2004)</w:t>
          </w:r>
          <w:r w:rsidR="00874B2C">
            <w:rPr>
              <w:rFonts w:cs="Times New Roman"/>
            </w:rPr>
            <w:fldChar w:fldCharType="end"/>
          </w:r>
        </w:sdtContent>
      </w:sdt>
      <w:r w:rsidR="00BB1A2B">
        <w:rPr>
          <w:rFonts w:cs="Times New Roman"/>
        </w:rPr>
        <w:t>.</w:t>
      </w:r>
      <w:r w:rsidR="00794A30">
        <w:rPr>
          <w:rFonts w:cs="Times New Roman"/>
        </w:rPr>
        <w:t xml:space="preserve"> </w:t>
      </w:r>
      <w:r w:rsidR="00794A30" w:rsidRPr="006C310C">
        <w:rPr>
          <w:rFonts w:cs="Times New Roman"/>
        </w:rPr>
        <w:t xml:space="preserve">Los programas de </w:t>
      </w:r>
      <w:r w:rsidR="00794A30">
        <w:t>vinculación con la sociedad se define</w:t>
      </w:r>
      <w:r w:rsidR="00DE2469">
        <w:t>n</w:t>
      </w:r>
      <w:r w:rsidR="00794A30">
        <w:t xml:space="preserve"> como el conjunto de proyectos de la carrera en respuesta a los requerimientos de los distintos sectores sociales. Un proyecto de vinculación es el conjunto de actividades, debidamente planificadas, para atender una necesidad o requerimiento puntual de los sectores sociales en los que interviene la carrera, con la participación de profesores.</w:t>
      </w:r>
      <w:r w:rsidR="00794A30" w:rsidRPr="00B87749">
        <w:t xml:space="preserve"> </w:t>
      </w:r>
      <w:r w:rsidR="00794A30">
        <w:t>Los programas y proyectos de vinculación con la sociedad deben ser formulados para atender las demandas de los sectores sociales relacionadas con la carrera, deben alinearse al perfil de egreso de la carrera y al plan nacional de desarrollo</w:t>
      </w:r>
      <w:sdt>
        <w:sdtPr>
          <w:id w:val="401574421"/>
          <w:citation/>
        </w:sdtPr>
        <w:sdtEndPr/>
        <w:sdtContent>
          <w:r w:rsidR="00794A30">
            <w:fldChar w:fldCharType="begin"/>
          </w:r>
          <w:r w:rsidR="00794A30">
            <w:instrText xml:space="preserve"> CITATION CEA15 \l 12298 </w:instrText>
          </w:r>
          <w:r w:rsidR="00794A30">
            <w:fldChar w:fldCharType="separate"/>
          </w:r>
          <w:r w:rsidR="00FE5821">
            <w:rPr>
              <w:noProof/>
            </w:rPr>
            <w:t xml:space="preserve"> (CEAACES, 2015)</w:t>
          </w:r>
          <w:r w:rsidR="00794A30">
            <w:fldChar w:fldCharType="end"/>
          </w:r>
        </w:sdtContent>
      </w:sdt>
      <w:r w:rsidR="00794A30">
        <w:t>.</w:t>
      </w:r>
    </w:p>
    <w:p w14:paraId="23FDF418" w14:textId="77777777" w:rsidR="001D4951" w:rsidRDefault="001D4951" w:rsidP="001F7A53">
      <w:pPr>
        <w:spacing w:after="0" w:line="276" w:lineRule="auto"/>
        <w:ind w:left="426"/>
      </w:pPr>
    </w:p>
    <w:p w14:paraId="28E1680B" w14:textId="77777777" w:rsidR="001D4951" w:rsidRDefault="001D4951" w:rsidP="001D4951">
      <w:pPr>
        <w:spacing w:after="0" w:line="276" w:lineRule="auto"/>
        <w:ind w:left="426"/>
        <w:rPr>
          <w:rFonts w:cs="Times New Roman"/>
        </w:rPr>
      </w:pPr>
      <w:r>
        <w:rPr>
          <w:rFonts w:cs="Times New Roman"/>
        </w:rPr>
        <w:t>Es decir que un programa de vinculación con la Sociedad, deberá estar integrado por un conjunto de proyectos, servicios o actividades específicas cuyo beneficiario será una comunidad o varias comunidades, bien identificadas, que serán intervenidas de acuerdo a sus necesidades, buscando soluciones de impacto significativo.</w:t>
      </w:r>
    </w:p>
    <w:p w14:paraId="0B1F6504" w14:textId="77777777" w:rsidR="001F7A53" w:rsidRDefault="001F7A53" w:rsidP="001F7A53">
      <w:pPr>
        <w:spacing w:after="0" w:line="276" w:lineRule="auto"/>
        <w:ind w:left="426"/>
        <w:rPr>
          <w:rFonts w:cs="Times New Roman"/>
        </w:rPr>
      </w:pPr>
    </w:p>
    <w:p w14:paraId="2EF305A6" w14:textId="20113A3E" w:rsidR="001E58BC" w:rsidRPr="00B93F2C" w:rsidRDefault="001D4951" w:rsidP="008950BE">
      <w:pPr>
        <w:spacing w:after="0" w:line="276" w:lineRule="auto"/>
        <w:ind w:left="426"/>
        <w:rPr>
          <w:rFonts w:cs="Times New Roman"/>
        </w:rPr>
      </w:pPr>
      <w:r w:rsidRPr="00B93F2C">
        <w:rPr>
          <w:rFonts w:cs="Times New Roman"/>
        </w:rPr>
        <w:t>En la formulación de los programas, l</w:t>
      </w:r>
      <w:r w:rsidR="007435E5" w:rsidRPr="00B93F2C">
        <w:rPr>
          <w:rFonts w:cs="Times New Roman"/>
        </w:rPr>
        <w:t xml:space="preserve">as unidades académicas deben </w:t>
      </w:r>
      <w:r w:rsidR="001E58BC" w:rsidRPr="00B93F2C">
        <w:rPr>
          <w:rFonts w:cs="Times New Roman"/>
        </w:rPr>
        <w:t>tomar en cuenta los siguientes estamentos legales</w:t>
      </w:r>
      <w:r w:rsidR="00B93F2C" w:rsidRPr="00B93F2C">
        <w:rPr>
          <w:rFonts w:cs="Times New Roman"/>
        </w:rPr>
        <w:t xml:space="preserve"> del Reglamento de Régimen Académico</w:t>
      </w:r>
      <w:r w:rsidR="001E58BC" w:rsidRPr="00B93F2C">
        <w:rPr>
          <w:rFonts w:cs="Times New Roman"/>
        </w:rPr>
        <w:t>:</w:t>
      </w:r>
      <w:r w:rsidR="007435E5" w:rsidRPr="00B93F2C">
        <w:rPr>
          <w:rFonts w:cs="Times New Roman"/>
        </w:rPr>
        <w:t xml:space="preserve"> </w:t>
      </w:r>
    </w:p>
    <w:p w14:paraId="1244EEBD" w14:textId="77777777" w:rsidR="001E58BC" w:rsidRPr="00B93F2C" w:rsidRDefault="001E58BC" w:rsidP="001F7A53">
      <w:pPr>
        <w:spacing w:after="0" w:line="276" w:lineRule="auto"/>
        <w:ind w:left="426"/>
        <w:rPr>
          <w:rFonts w:cs="Times New Roman"/>
        </w:rPr>
      </w:pPr>
    </w:p>
    <w:p w14:paraId="4BCC2D76" w14:textId="61308082" w:rsidR="007435E5" w:rsidRPr="00B93F2C" w:rsidRDefault="001E58BC" w:rsidP="008950BE">
      <w:pPr>
        <w:spacing w:after="0" w:line="276" w:lineRule="auto"/>
        <w:ind w:left="426"/>
        <w:rPr>
          <w:rFonts w:cs="Times New Roman"/>
          <w:i/>
        </w:rPr>
      </w:pPr>
      <w:r w:rsidRPr="00B93F2C">
        <w:rPr>
          <w:rFonts w:cs="Times New Roman"/>
          <w:i/>
        </w:rPr>
        <w:t>Artículo 77</w:t>
      </w:r>
      <w:r w:rsidRPr="00B93F2C">
        <w:rPr>
          <w:rFonts w:cs="Times New Roman"/>
        </w:rPr>
        <w:t xml:space="preserve">: </w:t>
      </w:r>
      <w:r w:rsidR="007435E5" w:rsidRPr="00B93F2C">
        <w:rPr>
          <w:rFonts w:cs="Times New Roman"/>
          <w:i/>
        </w:rPr>
        <w:t>Pertinencia de las carreras y programas académicos</w:t>
      </w:r>
      <w:r w:rsidR="00D66521" w:rsidRPr="00B93F2C">
        <w:rPr>
          <w:rFonts w:cs="Times New Roman"/>
          <w:i/>
        </w:rPr>
        <w:t>.- Se entenderá como pertinencia de las carreras y programas académicos a la articulación de la oferta formativa, de investigación y de vinculación con la sociedad, con el régimen constitucional del Buen Vivir el Plan Nacional de Desarrollo, los planes regionales y locales, los requerimientos sociales en cada nivel territorial y las corrientes internacionales científicas y humanísticas de pensamiento, establecidos en la respectiva normativa”</w:t>
      </w:r>
    </w:p>
    <w:p w14:paraId="4105981D" w14:textId="77777777" w:rsidR="001E58BC" w:rsidRPr="00B93F2C" w:rsidRDefault="001E58BC">
      <w:pPr>
        <w:spacing w:after="0" w:line="276" w:lineRule="auto"/>
        <w:ind w:left="426"/>
        <w:rPr>
          <w:rFonts w:cs="Times New Roman"/>
          <w:i/>
        </w:rPr>
      </w:pPr>
    </w:p>
    <w:p w14:paraId="0EA95C4A" w14:textId="60251F01" w:rsidR="001E58BC" w:rsidRPr="00B93F2C" w:rsidRDefault="001E58BC">
      <w:pPr>
        <w:spacing w:after="0" w:line="276" w:lineRule="auto"/>
        <w:ind w:left="426"/>
        <w:rPr>
          <w:rFonts w:cs="Times New Roman"/>
          <w:i/>
        </w:rPr>
      </w:pPr>
      <w:r w:rsidRPr="00B93F2C">
        <w:rPr>
          <w:rFonts w:cs="Times New Roman"/>
          <w:i/>
        </w:rPr>
        <w:t xml:space="preserve">Artículo 78: Fortalezas o dominios académicos de las instituciones de educación superior.- Un dominio académico consiste en las fortalezas científicas, </w:t>
      </w:r>
      <w:r w:rsidR="002E7766" w:rsidRPr="00B93F2C">
        <w:rPr>
          <w:rFonts w:cs="Times New Roman"/>
          <w:i/>
        </w:rPr>
        <w:t xml:space="preserve">tecnológicas, humanísticas, artísticas demostradas por una IES, con base en su trayectoria </w:t>
      </w:r>
      <w:r w:rsidR="00086F9C" w:rsidRPr="00B93F2C">
        <w:rPr>
          <w:rFonts w:cs="Times New Roman"/>
          <w:i/>
        </w:rPr>
        <w:t>académica e investigativa, personal académico altamente calificado, infraestructura científica y gestión pertinente del conocimiento.</w:t>
      </w:r>
    </w:p>
    <w:p w14:paraId="322C14C2" w14:textId="77777777" w:rsidR="00086F9C" w:rsidRPr="00B93F2C" w:rsidRDefault="00086F9C">
      <w:pPr>
        <w:spacing w:after="0" w:line="276" w:lineRule="auto"/>
        <w:ind w:left="426"/>
        <w:rPr>
          <w:rFonts w:cs="Times New Roman"/>
          <w:i/>
        </w:rPr>
      </w:pPr>
    </w:p>
    <w:p w14:paraId="0B2362FA" w14:textId="34D442B5" w:rsidR="00086F9C" w:rsidRPr="00B93F2C" w:rsidRDefault="00086F9C">
      <w:pPr>
        <w:spacing w:after="0" w:line="276" w:lineRule="auto"/>
        <w:ind w:left="426"/>
        <w:rPr>
          <w:rFonts w:cs="Times New Roman"/>
          <w:i/>
        </w:rPr>
      </w:pPr>
      <w:r w:rsidRPr="00B93F2C">
        <w:rPr>
          <w:rFonts w:cs="Times New Roman"/>
          <w:i/>
        </w:rPr>
        <w:t>Artículo 79: Dominios Académicos y planificación territorial.- Las IES deberán coordinar su planificación académica y de investigación con las propuestas definidas por los Comités Regionales Consultivos de Planificación de la Educación Superior establecidos en la LOES.</w:t>
      </w:r>
    </w:p>
    <w:p w14:paraId="4E0FD984" w14:textId="77777777" w:rsidR="00086F9C" w:rsidRPr="00B93F2C" w:rsidRDefault="00086F9C">
      <w:pPr>
        <w:spacing w:after="0" w:line="276" w:lineRule="auto"/>
        <w:ind w:left="426"/>
        <w:rPr>
          <w:rFonts w:cs="Times New Roman"/>
          <w:i/>
        </w:rPr>
      </w:pPr>
    </w:p>
    <w:p w14:paraId="51188CE5" w14:textId="26AA5198" w:rsidR="00086F9C" w:rsidRPr="00B93F2C" w:rsidRDefault="00086F9C">
      <w:pPr>
        <w:spacing w:after="0" w:line="276" w:lineRule="auto"/>
        <w:ind w:left="426"/>
        <w:rPr>
          <w:rFonts w:cs="Times New Roman"/>
          <w:i/>
        </w:rPr>
      </w:pPr>
      <w:r w:rsidRPr="00B93F2C">
        <w:rPr>
          <w:rFonts w:cs="Times New Roman"/>
          <w:i/>
        </w:rPr>
        <w:t xml:space="preserve">Artículo 82: Vinculación con la Sociedad y Educación Continua.- La Vinculación con la Sociedad hace referencia a los programas de educación continua, investigación y desarrollo y gestión académica, en tanto respondan, a través de proyectos específicos, a las necesidades del desarrollo </w:t>
      </w:r>
      <w:r w:rsidR="00D47F1D" w:rsidRPr="00B93F2C">
        <w:rPr>
          <w:rFonts w:cs="Times New Roman"/>
          <w:i/>
        </w:rPr>
        <w:t xml:space="preserve">local, regional y nacional. La Instituciones de educación superior deberán </w:t>
      </w:r>
      <w:r w:rsidR="00D47F1D" w:rsidRPr="00B93F2C">
        <w:rPr>
          <w:rFonts w:cs="Times New Roman"/>
          <w:i/>
        </w:rPr>
        <w:lastRenderedPageBreak/>
        <w:t xml:space="preserve">crear obligatoriamente </w:t>
      </w:r>
      <w:r w:rsidR="00B65E7E" w:rsidRPr="00B93F2C">
        <w:rPr>
          <w:rFonts w:cs="Times New Roman"/>
          <w:i/>
        </w:rPr>
        <w:t>instancias institucionales específicas</w:t>
      </w:r>
      <w:r w:rsidR="00D47F1D" w:rsidRPr="00B93F2C">
        <w:rPr>
          <w:rFonts w:cs="Times New Roman"/>
          <w:i/>
        </w:rPr>
        <w:t xml:space="preserve"> para planificar y coordinar la vinculación con la sociedad, a fin de generar proyectos de interés público.</w:t>
      </w:r>
    </w:p>
    <w:p w14:paraId="61762F4A" w14:textId="77777777" w:rsidR="00B65E7E" w:rsidRPr="00B93F2C" w:rsidRDefault="00B65E7E">
      <w:pPr>
        <w:spacing w:after="0" w:line="276" w:lineRule="auto"/>
        <w:ind w:left="426"/>
        <w:rPr>
          <w:rFonts w:cs="Times New Roman"/>
          <w:i/>
        </w:rPr>
      </w:pPr>
    </w:p>
    <w:p w14:paraId="0E01158F" w14:textId="6BF70238" w:rsidR="00B65E7E" w:rsidRPr="00B93F2C" w:rsidRDefault="00B65E7E">
      <w:pPr>
        <w:spacing w:after="0" w:line="276" w:lineRule="auto"/>
        <w:ind w:left="426"/>
        <w:rPr>
          <w:rFonts w:cs="Times New Roman"/>
          <w:i/>
        </w:rPr>
      </w:pPr>
      <w:r w:rsidRPr="00B93F2C">
        <w:rPr>
          <w:rFonts w:cs="Times New Roman"/>
          <w:i/>
        </w:rPr>
        <w:t>Artículo 93: Las instituciones de educación superior diseñarán, organizarán y evaluarán las correspondientes prácticas pre profesionales para cada carrera. Para el efecto, la</w:t>
      </w:r>
      <w:r w:rsidR="00E853AB">
        <w:rPr>
          <w:rFonts w:cs="Times New Roman"/>
          <w:i/>
        </w:rPr>
        <w:t>s</w:t>
      </w:r>
      <w:r w:rsidRPr="00B93F2C">
        <w:rPr>
          <w:rFonts w:cs="Times New Roman"/>
          <w:i/>
        </w:rPr>
        <w:t xml:space="preserve"> IES implementarán programas y proyectos de vinculación con la sociedad con la participación de sectores productivos, sociales y culturales. </w:t>
      </w:r>
    </w:p>
    <w:p w14:paraId="01712F65" w14:textId="77777777" w:rsidR="00B65E7E" w:rsidRPr="00B93F2C" w:rsidRDefault="00B65E7E">
      <w:pPr>
        <w:spacing w:after="0" w:line="276" w:lineRule="auto"/>
        <w:ind w:left="426"/>
        <w:rPr>
          <w:rFonts w:cs="Times New Roman"/>
          <w:i/>
        </w:rPr>
      </w:pPr>
    </w:p>
    <w:p w14:paraId="6E33DD7A" w14:textId="003F3FF2" w:rsidR="00B65E7E" w:rsidRPr="00B93F2C" w:rsidRDefault="00B65E7E">
      <w:pPr>
        <w:spacing w:after="0" w:line="276" w:lineRule="auto"/>
        <w:ind w:left="426"/>
        <w:rPr>
          <w:rFonts w:cs="Times New Roman"/>
        </w:rPr>
      </w:pPr>
      <w:r w:rsidRPr="00B93F2C">
        <w:rPr>
          <w:rFonts w:cs="Times New Roman"/>
          <w:i/>
        </w:rPr>
        <w:t>Artículo 94: El CEAACES tomará en cuenta la planificación y ejecución de las prácticas pre profesionales para la evaluación de la carrera, considerando el cumplimiento de la presente normativa.</w:t>
      </w:r>
    </w:p>
    <w:p w14:paraId="6B22BE7F" w14:textId="77777777" w:rsidR="001E58BC" w:rsidRPr="00B93F2C" w:rsidRDefault="001E58BC" w:rsidP="001F7A53">
      <w:pPr>
        <w:spacing w:after="0" w:line="276" w:lineRule="auto"/>
        <w:ind w:left="426"/>
        <w:rPr>
          <w:rFonts w:cs="Times New Roman"/>
          <w:i/>
        </w:rPr>
      </w:pPr>
    </w:p>
    <w:p w14:paraId="6F090D88" w14:textId="0A4AF53C" w:rsidR="00B65E7E" w:rsidRPr="009F6B2C" w:rsidRDefault="00B65E7E" w:rsidP="001F7A53">
      <w:pPr>
        <w:spacing w:after="0" w:line="276" w:lineRule="auto"/>
        <w:ind w:left="426"/>
        <w:rPr>
          <w:rFonts w:cs="Times New Roman"/>
          <w:i/>
        </w:rPr>
      </w:pPr>
      <w:r w:rsidRPr="00B93F2C">
        <w:rPr>
          <w:rFonts w:cs="Times New Roman"/>
          <w:i/>
        </w:rPr>
        <w:t>Artículo 125: Las Instituciones del Sistema Educación Superior realizarán programas y cursos de vinculación con la sociedad guiados por el personal</w:t>
      </w:r>
      <w:r w:rsidR="008950BE" w:rsidRPr="00B93F2C">
        <w:rPr>
          <w:rFonts w:cs="Times New Roman"/>
          <w:i/>
        </w:rPr>
        <w:t xml:space="preserve"> académico. Para ser estudiante de los mismos no hará falta cumplir los requisitos del estudiante regular</w:t>
      </w:r>
    </w:p>
    <w:p w14:paraId="02ED2F17" w14:textId="77777777" w:rsidR="007435E5" w:rsidRDefault="007435E5" w:rsidP="001F7A53">
      <w:pPr>
        <w:spacing w:after="0" w:line="276" w:lineRule="auto"/>
        <w:ind w:left="426"/>
        <w:rPr>
          <w:rFonts w:cs="Times New Roman"/>
        </w:rPr>
      </w:pPr>
    </w:p>
    <w:p w14:paraId="160EE7C2" w14:textId="77777777" w:rsidR="001F7A53" w:rsidRDefault="001F7A53" w:rsidP="001F7A53">
      <w:pPr>
        <w:spacing w:after="0" w:line="276" w:lineRule="auto"/>
        <w:ind w:left="426"/>
        <w:rPr>
          <w:rFonts w:cs="Times New Roman"/>
        </w:rPr>
      </w:pPr>
    </w:p>
    <w:p w14:paraId="54DDC1F6" w14:textId="77777777" w:rsidR="001F7A53" w:rsidRPr="00D835FF" w:rsidRDefault="001F7A53" w:rsidP="001F7A53">
      <w:pPr>
        <w:spacing w:after="0" w:line="276" w:lineRule="auto"/>
        <w:ind w:left="426"/>
        <w:rPr>
          <w:rFonts w:cs="Times New Roman"/>
          <w:b/>
        </w:rPr>
      </w:pPr>
      <w:r w:rsidRPr="00D835FF">
        <w:rPr>
          <w:rFonts w:cs="Times New Roman"/>
          <w:b/>
        </w:rPr>
        <w:t xml:space="preserve">Todos los proyectos, servicios y actividades específicas deberán </w:t>
      </w:r>
      <w:r w:rsidR="006223B8" w:rsidRPr="00D835FF">
        <w:rPr>
          <w:rFonts w:cs="Times New Roman"/>
          <w:b/>
        </w:rPr>
        <w:t>estar articuladas dentro de un programa de vinculación con la sociedad.</w:t>
      </w:r>
    </w:p>
    <w:p w14:paraId="5A66D4F4" w14:textId="77777777" w:rsidR="006223B8" w:rsidRPr="00CF389E" w:rsidRDefault="006223B8" w:rsidP="001F7A53">
      <w:pPr>
        <w:spacing w:after="0" w:line="276" w:lineRule="auto"/>
        <w:ind w:left="426"/>
        <w:rPr>
          <w:rFonts w:cs="Times New Roman"/>
          <w:highlight w:val="yellow"/>
        </w:rPr>
      </w:pPr>
    </w:p>
    <w:p w14:paraId="6535D4F0" w14:textId="32476692" w:rsidR="00CF389E" w:rsidRDefault="00CF389E" w:rsidP="001F7A53">
      <w:pPr>
        <w:spacing w:after="0" w:line="276" w:lineRule="auto"/>
        <w:ind w:left="426"/>
        <w:rPr>
          <w:rFonts w:cs="Times New Roman"/>
        </w:rPr>
      </w:pPr>
      <w:r w:rsidRPr="00D835FF">
        <w:rPr>
          <w:rFonts w:cs="Times New Roman"/>
        </w:rPr>
        <w:t>Los pasos para presentar un programa de vinculación con la sociedad son:</w:t>
      </w:r>
    </w:p>
    <w:p w14:paraId="2FA6EFB9" w14:textId="77777777" w:rsidR="00CF389E" w:rsidRDefault="00CF389E" w:rsidP="001F7A53">
      <w:pPr>
        <w:spacing w:after="0" w:line="276" w:lineRule="auto"/>
        <w:ind w:left="426"/>
        <w:rPr>
          <w:rFonts w:cs="Times New Roman"/>
        </w:rPr>
      </w:pPr>
    </w:p>
    <w:p w14:paraId="639F4A9C" w14:textId="39F64C31" w:rsidR="00F17086" w:rsidRDefault="00D835FF" w:rsidP="00856AF5">
      <w:pPr>
        <w:pStyle w:val="Prrafodelista"/>
        <w:numPr>
          <w:ilvl w:val="0"/>
          <w:numId w:val="28"/>
        </w:numPr>
        <w:spacing w:after="0" w:line="276" w:lineRule="auto"/>
        <w:ind w:left="1080"/>
      </w:pPr>
      <w:r>
        <w:rPr>
          <w:rFonts w:cs="Times New Roman"/>
        </w:rPr>
        <w:t>La u</w:t>
      </w:r>
      <w:r w:rsidR="006C310C" w:rsidRPr="006C310C">
        <w:rPr>
          <w:rFonts w:cs="Times New Roman"/>
        </w:rPr>
        <w:t xml:space="preserve">nidad </w:t>
      </w:r>
      <w:r>
        <w:rPr>
          <w:rFonts w:cs="Times New Roman"/>
        </w:rPr>
        <w:t>a</w:t>
      </w:r>
      <w:r w:rsidR="006C310C" w:rsidRPr="006C310C">
        <w:rPr>
          <w:rFonts w:cs="Times New Roman"/>
        </w:rPr>
        <w:t>cad</w:t>
      </w:r>
      <w:r>
        <w:rPr>
          <w:rFonts w:cs="Times New Roman"/>
        </w:rPr>
        <w:t>émica o c</w:t>
      </w:r>
      <w:r w:rsidR="006C310C" w:rsidRPr="006C310C">
        <w:rPr>
          <w:rFonts w:cs="Times New Roman"/>
        </w:rPr>
        <w:t>arrera debe formular sus Programas de Vinculación con la S</w:t>
      </w:r>
      <w:r>
        <w:rPr>
          <w:rFonts w:cs="Times New Roman"/>
        </w:rPr>
        <w:t xml:space="preserve">ociedad, </w:t>
      </w:r>
      <w:r>
        <w:t>según el formato</w:t>
      </w:r>
      <w:r w:rsidR="006C310C">
        <w:t xml:space="preserve"> </w:t>
      </w:r>
      <w:r w:rsidR="006C310C" w:rsidRPr="002909B7">
        <w:rPr>
          <w:highlight w:val="yellow"/>
        </w:rPr>
        <w:t>FOR-UVS-20.</w:t>
      </w:r>
    </w:p>
    <w:p w14:paraId="5FA3C0C0" w14:textId="77777777" w:rsidR="006C310C" w:rsidRDefault="006C310C" w:rsidP="00D835FF">
      <w:pPr>
        <w:pStyle w:val="Prrafodelista"/>
        <w:spacing w:after="0" w:line="276" w:lineRule="auto"/>
        <w:ind w:left="1080"/>
      </w:pPr>
    </w:p>
    <w:p w14:paraId="23309401" w14:textId="387ED196" w:rsidR="006C310C" w:rsidRPr="00AE06A6" w:rsidRDefault="004D2233" w:rsidP="00856AF5">
      <w:pPr>
        <w:pStyle w:val="Prrafodelista"/>
        <w:numPr>
          <w:ilvl w:val="0"/>
          <w:numId w:val="28"/>
        </w:numPr>
        <w:spacing w:after="0" w:line="276" w:lineRule="auto"/>
        <w:ind w:left="1080"/>
        <w:rPr>
          <w:rFonts w:cs="Times New Roman"/>
        </w:rPr>
      </w:pPr>
      <w:r>
        <w:rPr>
          <w:rFonts w:cs="Times New Roman"/>
        </w:rPr>
        <w:t>E</w:t>
      </w:r>
      <w:r w:rsidR="00F17086">
        <w:rPr>
          <w:rFonts w:cs="Times New Roman"/>
        </w:rPr>
        <w:t xml:space="preserve">l documento de formulación </w:t>
      </w:r>
      <w:r w:rsidR="00D835FF">
        <w:rPr>
          <w:rFonts w:cs="Times New Roman"/>
        </w:rPr>
        <w:t>una vez</w:t>
      </w:r>
      <w:r w:rsidR="00F17086">
        <w:rPr>
          <w:rFonts w:cs="Times New Roman"/>
        </w:rPr>
        <w:t xml:space="preserve"> elabo</w:t>
      </w:r>
      <w:r w:rsidR="00D835FF">
        <w:rPr>
          <w:rFonts w:cs="Times New Roman"/>
        </w:rPr>
        <w:t>rado, debe ser aprobado por el Consejo D</w:t>
      </w:r>
      <w:r w:rsidR="00F17086">
        <w:rPr>
          <w:rFonts w:cs="Times New Roman"/>
        </w:rPr>
        <w:t>irectivo de la unidad académica.</w:t>
      </w:r>
    </w:p>
    <w:p w14:paraId="2838B97C" w14:textId="77777777" w:rsidR="006C310C" w:rsidRDefault="006C310C" w:rsidP="00D835FF">
      <w:pPr>
        <w:pStyle w:val="Prrafodelista"/>
        <w:spacing w:after="0" w:line="276" w:lineRule="auto"/>
        <w:ind w:left="1080"/>
        <w:rPr>
          <w:rFonts w:cs="Times New Roman"/>
        </w:rPr>
      </w:pPr>
    </w:p>
    <w:p w14:paraId="3C0A9A7F" w14:textId="4BB0C2A0" w:rsidR="00F17086" w:rsidRDefault="00F17086" w:rsidP="00856AF5">
      <w:pPr>
        <w:pStyle w:val="Prrafodelista"/>
        <w:numPr>
          <w:ilvl w:val="0"/>
          <w:numId w:val="28"/>
        </w:numPr>
        <w:spacing w:after="0" w:line="276" w:lineRule="auto"/>
        <w:ind w:left="1080"/>
        <w:rPr>
          <w:rFonts w:cs="Times New Roman"/>
        </w:rPr>
      </w:pPr>
      <w:r>
        <w:rPr>
          <w:rFonts w:cs="Times New Roman"/>
        </w:rPr>
        <w:t>El documento de formulaci</w:t>
      </w:r>
      <w:r w:rsidR="00D835FF">
        <w:rPr>
          <w:rFonts w:cs="Times New Roman"/>
        </w:rPr>
        <w:t>ón del programa, sus</w:t>
      </w:r>
      <w:r>
        <w:rPr>
          <w:rFonts w:cs="Times New Roman"/>
        </w:rPr>
        <w:t xml:space="preserve"> </w:t>
      </w:r>
      <w:r w:rsidR="004D2233">
        <w:rPr>
          <w:rFonts w:cs="Times New Roman"/>
        </w:rPr>
        <w:t>anexos respectivos</w:t>
      </w:r>
      <w:r>
        <w:rPr>
          <w:rFonts w:cs="Times New Roman"/>
        </w:rPr>
        <w:t xml:space="preserve">, </w:t>
      </w:r>
      <w:r w:rsidR="00D835FF">
        <w:rPr>
          <w:rFonts w:cs="Times New Roman"/>
        </w:rPr>
        <w:t>y</w:t>
      </w:r>
      <w:r>
        <w:rPr>
          <w:rFonts w:cs="Times New Roman"/>
        </w:rPr>
        <w:t xml:space="preserve"> la resoluci</w:t>
      </w:r>
      <w:r w:rsidR="00D835FF">
        <w:rPr>
          <w:rFonts w:cs="Times New Roman"/>
        </w:rPr>
        <w:t>ón del Consejo D</w:t>
      </w:r>
      <w:r>
        <w:rPr>
          <w:rFonts w:cs="Times New Roman"/>
        </w:rPr>
        <w:t>irectivo será enviado a la Unidad de Vinculación con la Sociedad, para su validación.</w:t>
      </w:r>
    </w:p>
    <w:p w14:paraId="0A25931C" w14:textId="77777777" w:rsidR="00AE06A6" w:rsidRPr="00AE06A6" w:rsidRDefault="00AE06A6" w:rsidP="00D835FF">
      <w:pPr>
        <w:spacing w:after="0" w:line="276" w:lineRule="auto"/>
        <w:ind w:left="360"/>
        <w:rPr>
          <w:rFonts w:cs="Times New Roman"/>
        </w:rPr>
      </w:pPr>
    </w:p>
    <w:p w14:paraId="1BECA096" w14:textId="6222808E" w:rsidR="00F17086" w:rsidRDefault="00F17086" w:rsidP="00856AF5">
      <w:pPr>
        <w:pStyle w:val="Prrafodelista"/>
        <w:numPr>
          <w:ilvl w:val="0"/>
          <w:numId w:val="28"/>
        </w:numPr>
        <w:spacing w:after="0" w:line="276" w:lineRule="auto"/>
        <w:ind w:left="1080"/>
        <w:rPr>
          <w:rFonts w:cs="Times New Roman"/>
        </w:rPr>
      </w:pPr>
      <w:r>
        <w:rPr>
          <w:rFonts w:cs="Times New Roman"/>
        </w:rPr>
        <w:t>Una vez que el programa es validad</w:t>
      </w:r>
      <w:r w:rsidR="004B1428">
        <w:rPr>
          <w:rFonts w:cs="Times New Roman"/>
        </w:rPr>
        <w:t>o</w:t>
      </w:r>
      <w:r w:rsidR="00D835FF">
        <w:rPr>
          <w:rFonts w:cs="Times New Roman"/>
        </w:rPr>
        <w:t>,</w:t>
      </w:r>
      <w:r>
        <w:rPr>
          <w:rFonts w:cs="Times New Roman"/>
        </w:rPr>
        <w:t xml:space="preserve"> será enviado al </w:t>
      </w:r>
      <w:r w:rsidR="00D835FF">
        <w:rPr>
          <w:rFonts w:cs="Times New Roman"/>
        </w:rPr>
        <w:t>Rector</w:t>
      </w:r>
      <w:r>
        <w:rPr>
          <w:rFonts w:cs="Times New Roman"/>
        </w:rPr>
        <w:t xml:space="preserve"> para su autorización y ejecución del presupuesto.</w:t>
      </w:r>
    </w:p>
    <w:p w14:paraId="31CFFE48" w14:textId="77777777" w:rsidR="00AE06A6" w:rsidRPr="00AE06A6" w:rsidRDefault="00AE06A6" w:rsidP="00D835FF">
      <w:pPr>
        <w:spacing w:after="0" w:line="276" w:lineRule="auto"/>
        <w:ind w:left="360"/>
        <w:rPr>
          <w:rFonts w:cs="Times New Roman"/>
        </w:rPr>
      </w:pPr>
    </w:p>
    <w:p w14:paraId="2A3C89C8" w14:textId="061397F7" w:rsidR="004D2233" w:rsidRPr="00F17086" w:rsidRDefault="004D2233" w:rsidP="00856AF5">
      <w:pPr>
        <w:pStyle w:val="Prrafodelista"/>
        <w:numPr>
          <w:ilvl w:val="0"/>
          <w:numId w:val="28"/>
        </w:numPr>
        <w:spacing w:after="0" w:line="276" w:lineRule="auto"/>
        <w:ind w:left="1080"/>
        <w:rPr>
          <w:rFonts w:cs="Times New Roman"/>
        </w:rPr>
      </w:pPr>
      <w:r>
        <w:rPr>
          <w:rFonts w:cs="Times New Roman"/>
        </w:rPr>
        <w:t>Aprobado el programa se deben desarrollar los proyectos, servicios y actividades específicas que contribuyan a cumplir las metas del programa.</w:t>
      </w:r>
    </w:p>
    <w:p w14:paraId="7836CB1F" w14:textId="77777777" w:rsidR="00CF389E" w:rsidRDefault="00CF389E" w:rsidP="001F7A53">
      <w:pPr>
        <w:spacing w:after="0" w:line="276" w:lineRule="auto"/>
        <w:ind w:left="426"/>
        <w:rPr>
          <w:rFonts w:cs="Times New Roman"/>
        </w:rPr>
      </w:pPr>
    </w:p>
    <w:p w14:paraId="1876B0E1" w14:textId="77777777" w:rsidR="00F17086" w:rsidRDefault="00F17086" w:rsidP="001F7A53">
      <w:pPr>
        <w:spacing w:after="0" w:line="276" w:lineRule="auto"/>
        <w:ind w:left="426"/>
        <w:rPr>
          <w:rFonts w:cs="Times New Roman"/>
        </w:rPr>
      </w:pPr>
    </w:p>
    <w:p w14:paraId="1C6C6A0D" w14:textId="7ABDFCE5" w:rsidR="00F17086" w:rsidRDefault="00F17086" w:rsidP="001F7A53">
      <w:pPr>
        <w:spacing w:after="0" w:line="276" w:lineRule="auto"/>
        <w:ind w:left="426"/>
        <w:rPr>
          <w:rFonts w:cs="Times New Roman"/>
        </w:rPr>
      </w:pPr>
      <w:r>
        <w:rPr>
          <w:rFonts w:cs="Times New Roman"/>
        </w:rPr>
        <w:t xml:space="preserve">La Unidad de Vinculación con la Sociedad, puede asesorar </w:t>
      </w:r>
      <w:r w:rsidR="00D835FF">
        <w:rPr>
          <w:rFonts w:cs="Times New Roman"/>
        </w:rPr>
        <w:t xml:space="preserve">en </w:t>
      </w:r>
      <w:r>
        <w:rPr>
          <w:rFonts w:cs="Times New Roman"/>
        </w:rPr>
        <w:t>la formulación de los programas de la</w:t>
      </w:r>
      <w:r w:rsidR="00D835FF">
        <w:rPr>
          <w:rFonts w:cs="Times New Roman"/>
        </w:rPr>
        <w:t>s</w:t>
      </w:r>
      <w:r>
        <w:rPr>
          <w:rFonts w:cs="Times New Roman"/>
        </w:rPr>
        <w:t xml:space="preserve"> unidad</w:t>
      </w:r>
      <w:r w:rsidR="00D835FF">
        <w:rPr>
          <w:rFonts w:cs="Times New Roman"/>
        </w:rPr>
        <w:t>es académicas</w:t>
      </w:r>
      <w:r>
        <w:rPr>
          <w:rFonts w:cs="Times New Roman"/>
        </w:rPr>
        <w:t xml:space="preserve"> en todas sus etapas.</w:t>
      </w:r>
    </w:p>
    <w:p w14:paraId="691B6D87" w14:textId="77777777" w:rsidR="00CF389E" w:rsidRDefault="00CF389E" w:rsidP="001F7A53">
      <w:pPr>
        <w:spacing w:after="0" w:line="276" w:lineRule="auto"/>
        <w:ind w:left="426"/>
        <w:rPr>
          <w:rFonts w:cs="Times New Roman"/>
        </w:rPr>
      </w:pPr>
    </w:p>
    <w:sectPr w:rsidR="00CF389E" w:rsidSect="007F7410">
      <w:footerReference w:type="first" r:id="rId16"/>
      <w:pgSz w:w="12240" w:h="15840"/>
      <w:pgMar w:top="1134" w:right="1440" w:bottom="1134" w:left="1440" w:header="425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F9AA5" w14:textId="77777777" w:rsidR="009F7941" w:rsidRDefault="009F7941" w:rsidP="00FA3230">
      <w:pPr>
        <w:spacing w:after="0" w:line="240" w:lineRule="auto"/>
      </w:pPr>
      <w:r>
        <w:separator/>
      </w:r>
    </w:p>
    <w:p w14:paraId="7CCC7D16" w14:textId="77777777" w:rsidR="009F7941" w:rsidRDefault="009F7941"/>
    <w:p w14:paraId="4BE7AA54" w14:textId="77777777" w:rsidR="009F7941" w:rsidRDefault="009F7941" w:rsidP="000B3B47"/>
    <w:p w14:paraId="117E43BE" w14:textId="77777777" w:rsidR="009F7941" w:rsidRDefault="009F7941"/>
  </w:endnote>
  <w:endnote w:type="continuationSeparator" w:id="0">
    <w:p w14:paraId="05CC3BF6" w14:textId="77777777" w:rsidR="009F7941" w:rsidRDefault="009F7941" w:rsidP="00FA3230">
      <w:pPr>
        <w:spacing w:after="0" w:line="240" w:lineRule="auto"/>
      </w:pPr>
      <w:r>
        <w:continuationSeparator/>
      </w:r>
    </w:p>
    <w:p w14:paraId="0724FE6C" w14:textId="77777777" w:rsidR="009F7941" w:rsidRDefault="009F7941"/>
    <w:p w14:paraId="31413599" w14:textId="77777777" w:rsidR="009F7941" w:rsidRDefault="009F7941" w:rsidP="000B3B47"/>
    <w:p w14:paraId="2DB2098C" w14:textId="77777777" w:rsidR="009F7941" w:rsidRDefault="009F79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62115095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660962854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14:paraId="3A1DF506" w14:textId="01EBD973" w:rsidR="001D1E0B" w:rsidRPr="00630ECC" w:rsidRDefault="001D1E0B" w:rsidP="00630ECC">
            <w:pPr>
              <w:pStyle w:val="Piedepgina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52051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fldChar w:fldCharType="begin"/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instrText>PAGE  \* Arabic  \* MERGEFORMAT</w:instrText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fldChar w:fldCharType="separate"/>
            </w:r>
            <w:r w:rsidR="00E04D5A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2</w:t>
            </w:r>
            <w:r w:rsidRPr="00B93F2C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fldChar w:fldCharType="end"/>
            </w:r>
          </w:p>
        </w:sdtContent>
      </w:sdt>
      <w:p w14:paraId="2AC932EF" w14:textId="381E31A5" w:rsidR="001D1E0B" w:rsidRPr="00630ECC" w:rsidRDefault="001D1E0B" w:rsidP="00630ECC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>
          <w:rPr>
            <w:rFonts w:asciiTheme="minorHAnsi" w:hAnsiTheme="minorHAnsi"/>
            <w:i/>
            <w:sz w:val="20"/>
            <w:szCs w:val="20"/>
          </w:rPr>
          <w:t xml:space="preserve">UVS 2015 Versión </w:t>
        </w:r>
        <w:r w:rsidRPr="00520512">
          <w:rPr>
            <w:rFonts w:asciiTheme="minorHAnsi" w:hAnsiTheme="minorHAnsi"/>
            <w:i/>
            <w:sz w:val="20"/>
            <w:szCs w:val="20"/>
          </w:rPr>
          <w:t>0</w:t>
        </w:r>
        <w:r>
          <w:rPr>
            <w:rFonts w:asciiTheme="minorHAnsi" w:hAnsiTheme="minorHAnsi"/>
            <w:i/>
            <w:sz w:val="20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DB168" w14:textId="6227C667" w:rsidR="001D1E0B" w:rsidRPr="00967DEB" w:rsidRDefault="001D1E0B" w:rsidP="00B93F2C">
    <w:pPr>
      <w:pStyle w:val="Piedepgina"/>
      <w:tabs>
        <w:tab w:val="clear" w:pos="8504"/>
        <w:tab w:val="left" w:pos="4290"/>
        <w:tab w:val="right" w:pos="9360"/>
      </w:tabs>
      <w:ind w:left="0"/>
      <w:rPr>
        <w:i/>
      </w:rPr>
    </w:pPr>
    <w:r w:rsidRPr="00967DEB">
      <w:rPr>
        <w:i/>
      </w:rPr>
      <w:tab/>
    </w:r>
    <w:r>
      <w:rPr>
        <w:i/>
      </w:rPr>
      <w:tab/>
    </w:r>
    <w:r>
      <w:rPr>
        <w:i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759F3" w14:textId="77777777" w:rsidR="001D1E0B" w:rsidRPr="00967DEB" w:rsidRDefault="001D1E0B" w:rsidP="00967DEB">
    <w:pPr>
      <w:pStyle w:val="Piedepgina"/>
      <w:tabs>
        <w:tab w:val="left" w:pos="4290"/>
      </w:tabs>
      <w:ind w:left="0"/>
      <w:jc w:val="right"/>
      <w:rPr>
        <w:i/>
      </w:rPr>
    </w:pPr>
    <w:r w:rsidRPr="00967DEB">
      <w:rPr>
        <w:i/>
      </w:rPr>
      <w:t>Elaborado por el equipo de trabajo de la Unidad de Vinculación con la Sociedad UVS</w:t>
    </w:r>
    <w:r>
      <w:rPr>
        <w:i/>
      </w:rPr>
      <w:t xml:space="preserve"> 2015</w:t>
    </w:r>
    <w:r w:rsidRPr="00967DEB">
      <w:rPr>
        <w:i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9A615" w14:textId="77777777" w:rsidR="009F7941" w:rsidRDefault="009F7941" w:rsidP="00512758">
      <w:pPr>
        <w:spacing w:after="0" w:line="240" w:lineRule="auto"/>
        <w:ind w:left="0"/>
      </w:pPr>
      <w:r>
        <w:separator/>
      </w:r>
    </w:p>
  </w:footnote>
  <w:footnote w:type="continuationSeparator" w:id="0">
    <w:p w14:paraId="31798C1B" w14:textId="77777777" w:rsidR="009F7941" w:rsidRDefault="009F7941" w:rsidP="00A12E97">
      <w:pPr>
        <w:spacing w:after="0" w:line="240" w:lineRule="auto"/>
        <w:ind w:left="0"/>
      </w:pPr>
      <w:r>
        <w:t>______________________</w:t>
      </w:r>
    </w:p>
  </w:footnote>
  <w:footnote w:type="continuationNotice" w:id="1">
    <w:p w14:paraId="77041DA9" w14:textId="77777777" w:rsidR="009F7941" w:rsidRDefault="009F7941" w:rsidP="00A12E97">
      <w:pPr>
        <w:spacing w:after="0" w:line="240" w:lineRule="auto"/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17A7E" w14:textId="7496C7EB" w:rsidR="001D1E0B" w:rsidRPr="00A46FCF" w:rsidRDefault="001D1E0B" w:rsidP="0006322E">
    <w:pPr>
      <w:tabs>
        <w:tab w:val="left" w:pos="795"/>
        <w:tab w:val="center" w:pos="2835"/>
      </w:tabs>
      <w:spacing w:after="0" w:line="240" w:lineRule="auto"/>
      <w:rPr>
        <w:rFonts w:asciiTheme="minorHAnsi" w:hAnsiTheme="minorHAnsi"/>
        <w:color w:val="444E55" w:themeColor="text2" w:themeShade="BF"/>
        <w:sz w:val="20"/>
      </w:rPr>
    </w:pPr>
    <w:r w:rsidRPr="00CB3075">
      <w:rPr>
        <w:rFonts w:asciiTheme="minorHAnsi" w:hAnsiTheme="minorHAnsi"/>
        <w:noProof/>
        <w:lang w:eastAsia="es-EC"/>
      </w:rPr>
      <w:drawing>
        <wp:anchor distT="0" distB="0" distL="114300" distR="114300" simplePos="0" relativeHeight="251659264" behindDoc="0" locked="0" layoutInCell="1" allowOverlap="1" wp14:anchorId="3CF17CE2" wp14:editId="413B536F">
          <wp:simplePos x="0" y="0"/>
          <wp:positionH relativeFrom="column">
            <wp:posOffset>1424940</wp:posOffset>
          </wp:positionH>
          <wp:positionV relativeFrom="paragraph">
            <wp:posOffset>-67310</wp:posOffset>
          </wp:positionV>
          <wp:extent cx="281305" cy="284480"/>
          <wp:effectExtent l="0" t="0" r="4445" b="1270"/>
          <wp:wrapSquare wrapText="bothSides"/>
          <wp:docPr id="2" name="Imagen 2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3075">
      <w:rPr>
        <w:rFonts w:asciiTheme="minorHAnsi" w:hAnsiTheme="minorHAnsi"/>
        <w:b/>
        <w:color w:val="444E55" w:themeColor="text2" w:themeShade="BF"/>
        <w:sz w:val="20"/>
      </w:rPr>
      <w:t>UNIDA</w:t>
    </w:r>
    <w:r>
      <w:rPr>
        <w:rFonts w:asciiTheme="minorHAnsi" w:hAnsiTheme="minorHAnsi"/>
        <w:b/>
        <w:color w:val="444E55" w:themeColor="text2" w:themeShade="BF"/>
        <w:sz w:val="20"/>
      </w:rPr>
      <w:t>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13CB7"/>
    <w:multiLevelType w:val="hybridMultilevel"/>
    <w:tmpl w:val="132258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7BF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F66280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F741FB"/>
    <w:multiLevelType w:val="multilevel"/>
    <w:tmpl w:val="970AC4B6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sz w:val="20"/>
      </w:rPr>
    </w:lvl>
    <w:lvl w:ilvl="1">
      <w:start w:val="1"/>
      <w:numFmt w:val="decimal"/>
      <w:pStyle w:val="Ttulo2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4">
    <w:nsid w:val="0E1F71BD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E2D05EB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EC834E5"/>
    <w:multiLevelType w:val="multilevel"/>
    <w:tmpl w:val="300A001D"/>
    <w:styleLink w:val="Estilo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2FB5C74"/>
    <w:multiLevelType w:val="hybridMultilevel"/>
    <w:tmpl w:val="D13CA782"/>
    <w:lvl w:ilvl="0" w:tplc="F322E8BA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B3384A"/>
    <w:multiLevelType w:val="multilevel"/>
    <w:tmpl w:val="300A001D"/>
    <w:styleLink w:val="Estilo4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53127AE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193" w:hanging="360"/>
      </w:pPr>
    </w:lvl>
    <w:lvl w:ilvl="2" w:tplc="300A001B" w:tentative="1">
      <w:start w:val="1"/>
      <w:numFmt w:val="lowerRoman"/>
      <w:lvlText w:val="%3."/>
      <w:lvlJc w:val="right"/>
      <w:pPr>
        <w:ind w:left="1913" w:hanging="180"/>
      </w:pPr>
    </w:lvl>
    <w:lvl w:ilvl="3" w:tplc="300A000F" w:tentative="1">
      <w:start w:val="1"/>
      <w:numFmt w:val="decimal"/>
      <w:lvlText w:val="%4."/>
      <w:lvlJc w:val="left"/>
      <w:pPr>
        <w:ind w:left="2633" w:hanging="360"/>
      </w:pPr>
    </w:lvl>
    <w:lvl w:ilvl="4" w:tplc="300A0019" w:tentative="1">
      <w:start w:val="1"/>
      <w:numFmt w:val="lowerLetter"/>
      <w:lvlText w:val="%5."/>
      <w:lvlJc w:val="left"/>
      <w:pPr>
        <w:ind w:left="3353" w:hanging="360"/>
      </w:pPr>
    </w:lvl>
    <w:lvl w:ilvl="5" w:tplc="300A001B" w:tentative="1">
      <w:start w:val="1"/>
      <w:numFmt w:val="lowerRoman"/>
      <w:lvlText w:val="%6."/>
      <w:lvlJc w:val="right"/>
      <w:pPr>
        <w:ind w:left="4073" w:hanging="180"/>
      </w:pPr>
    </w:lvl>
    <w:lvl w:ilvl="6" w:tplc="300A000F" w:tentative="1">
      <w:start w:val="1"/>
      <w:numFmt w:val="decimal"/>
      <w:lvlText w:val="%7."/>
      <w:lvlJc w:val="left"/>
      <w:pPr>
        <w:ind w:left="4793" w:hanging="360"/>
      </w:pPr>
    </w:lvl>
    <w:lvl w:ilvl="7" w:tplc="300A0019" w:tentative="1">
      <w:start w:val="1"/>
      <w:numFmt w:val="lowerLetter"/>
      <w:lvlText w:val="%8."/>
      <w:lvlJc w:val="left"/>
      <w:pPr>
        <w:ind w:left="5513" w:hanging="360"/>
      </w:pPr>
    </w:lvl>
    <w:lvl w:ilvl="8" w:tplc="30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15F51F4D"/>
    <w:multiLevelType w:val="hybridMultilevel"/>
    <w:tmpl w:val="34A8938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EE5EF9"/>
    <w:multiLevelType w:val="hybridMultilevel"/>
    <w:tmpl w:val="646E5440"/>
    <w:lvl w:ilvl="0" w:tplc="3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A433432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A7C3149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FD26787"/>
    <w:multiLevelType w:val="hybridMultilevel"/>
    <w:tmpl w:val="58E8369A"/>
    <w:lvl w:ilvl="0" w:tplc="31BC8AB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457702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913" w:hanging="360"/>
      </w:pPr>
    </w:lvl>
    <w:lvl w:ilvl="2" w:tplc="300A001B" w:tentative="1">
      <w:start w:val="1"/>
      <w:numFmt w:val="lowerRoman"/>
      <w:lvlText w:val="%3."/>
      <w:lvlJc w:val="right"/>
      <w:pPr>
        <w:ind w:left="2633" w:hanging="180"/>
      </w:pPr>
    </w:lvl>
    <w:lvl w:ilvl="3" w:tplc="300A000F" w:tentative="1">
      <w:start w:val="1"/>
      <w:numFmt w:val="decimal"/>
      <w:lvlText w:val="%4."/>
      <w:lvlJc w:val="left"/>
      <w:pPr>
        <w:ind w:left="3353" w:hanging="360"/>
      </w:pPr>
    </w:lvl>
    <w:lvl w:ilvl="4" w:tplc="300A0019" w:tentative="1">
      <w:start w:val="1"/>
      <w:numFmt w:val="lowerLetter"/>
      <w:lvlText w:val="%5."/>
      <w:lvlJc w:val="left"/>
      <w:pPr>
        <w:ind w:left="4073" w:hanging="360"/>
      </w:pPr>
    </w:lvl>
    <w:lvl w:ilvl="5" w:tplc="300A001B" w:tentative="1">
      <w:start w:val="1"/>
      <w:numFmt w:val="lowerRoman"/>
      <w:lvlText w:val="%6."/>
      <w:lvlJc w:val="right"/>
      <w:pPr>
        <w:ind w:left="4793" w:hanging="180"/>
      </w:pPr>
    </w:lvl>
    <w:lvl w:ilvl="6" w:tplc="300A000F" w:tentative="1">
      <w:start w:val="1"/>
      <w:numFmt w:val="decimal"/>
      <w:lvlText w:val="%7."/>
      <w:lvlJc w:val="left"/>
      <w:pPr>
        <w:ind w:left="5513" w:hanging="360"/>
      </w:pPr>
    </w:lvl>
    <w:lvl w:ilvl="7" w:tplc="300A0019" w:tentative="1">
      <w:start w:val="1"/>
      <w:numFmt w:val="lowerLetter"/>
      <w:lvlText w:val="%8."/>
      <w:lvlJc w:val="left"/>
      <w:pPr>
        <w:ind w:left="6233" w:hanging="360"/>
      </w:pPr>
    </w:lvl>
    <w:lvl w:ilvl="8" w:tplc="300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18">
    <w:nsid w:val="22497FDA"/>
    <w:multiLevelType w:val="hybridMultilevel"/>
    <w:tmpl w:val="57720C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D7DE7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9282B35"/>
    <w:multiLevelType w:val="hybridMultilevel"/>
    <w:tmpl w:val="9BEE9B92"/>
    <w:lvl w:ilvl="0" w:tplc="31BC8AB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F2FD4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B3675C8"/>
    <w:multiLevelType w:val="hybridMultilevel"/>
    <w:tmpl w:val="FB66195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EF4D21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2DF5F5C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3D29FA"/>
    <w:multiLevelType w:val="hybridMultilevel"/>
    <w:tmpl w:val="6736EFF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6A45B5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8432F84"/>
    <w:multiLevelType w:val="hybridMultilevel"/>
    <w:tmpl w:val="58E8369A"/>
    <w:lvl w:ilvl="0" w:tplc="31BC8AB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21CA4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B2C51A1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C3E496A"/>
    <w:multiLevelType w:val="hybridMultilevel"/>
    <w:tmpl w:val="533C8964"/>
    <w:lvl w:ilvl="0" w:tplc="300A001B">
      <w:start w:val="1"/>
      <w:numFmt w:val="lowerRoman"/>
      <w:lvlText w:val="%1."/>
      <w:lvlJc w:val="right"/>
      <w:pPr>
        <w:ind w:left="1250" w:hanging="360"/>
      </w:pPr>
      <w:rPr>
        <w:rFonts w:hint="default"/>
        <w:b w:val="0"/>
        <w:sz w:val="20"/>
      </w:rPr>
    </w:lvl>
    <w:lvl w:ilvl="1" w:tplc="300A0019">
      <w:start w:val="1"/>
      <w:numFmt w:val="lowerLetter"/>
      <w:lvlText w:val="%2."/>
      <w:lvlJc w:val="left"/>
      <w:pPr>
        <w:ind w:left="1970" w:hanging="360"/>
      </w:pPr>
    </w:lvl>
    <w:lvl w:ilvl="2" w:tplc="300A001B" w:tentative="1">
      <w:start w:val="1"/>
      <w:numFmt w:val="lowerRoman"/>
      <w:lvlText w:val="%3."/>
      <w:lvlJc w:val="right"/>
      <w:pPr>
        <w:ind w:left="2690" w:hanging="180"/>
      </w:pPr>
    </w:lvl>
    <w:lvl w:ilvl="3" w:tplc="300A000F" w:tentative="1">
      <w:start w:val="1"/>
      <w:numFmt w:val="decimal"/>
      <w:lvlText w:val="%4."/>
      <w:lvlJc w:val="left"/>
      <w:pPr>
        <w:ind w:left="3410" w:hanging="360"/>
      </w:pPr>
    </w:lvl>
    <w:lvl w:ilvl="4" w:tplc="300A0019" w:tentative="1">
      <w:start w:val="1"/>
      <w:numFmt w:val="lowerLetter"/>
      <w:lvlText w:val="%5."/>
      <w:lvlJc w:val="left"/>
      <w:pPr>
        <w:ind w:left="4130" w:hanging="360"/>
      </w:pPr>
    </w:lvl>
    <w:lvl w:ilvl="5" w:tplc="300A001B" w:tentative="1">
      <w:start w:val="1"/>
      <w:numFmt w:val="lowerRoman"/>
      <w:lvlText w:val="%6."/>
      <w:lvlJc w:val="right"/>
      <w:pPr>
        <w:ind w:left="4850" w:hanging="180"/>
      </w:pPr>
    </w:lvl>
    <w:lvl w:ilvl="6" w:tplc="300A000F" w:tentative="1">
      <w:start w:val="1"/>
      <w:numFmt w:val="decimal"/>
      <w:lvlText w:val="%7."/>
      <w:lvlJc w:val="left"/>
      <w:pPr>
        <w:ind w:left="5570" w:hanging="360"/>
      </w:pPr>
    </w:lvl>
    <w:lvl w:ilvl="7" w:tplc="300A0019" w:tentative="1">
      <w:start w:val="1"/>
      <w:numFmt w:val="lowerLetter"/>
      <w:lvlText w:val="%8."/>
      <w:lvlJc w:val="left"/>
      <w:pPr>
        <w:ind w:left="6290" w:hanging="360"/>
      </w:pPr>
    </w:lvl>
    <w:lvl w:ilvl="8" w:tplc="30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1">
    <w:nsid w:val="3C747645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CBD5816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E690EFB"/>
    <w:multiLevelType w:val="multilevel"/>
    <w:tmpl w:val="39FCEBE2"/>
    <w:lvl w:ilvl="0">
      <w:start w:val="1"/>
      <w:numFmt w:val="lowerLetter"/>
      <w:lvlText w:val="%1."/>
      <w:lvlJc w:val="left"/>
      <w:pPr>
        <w:ind w:left="-227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493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213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1933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653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373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093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4813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533" w:firstLine="6120"/>
      </w:pPr>
      <w:rPr>
        <w:rFonts w:hint="default"/>
        <w:u w:val="none"/>
      </w:rPr>
    </w:lvl>
  </w:abstractNum>
  <w:abstractNum w:abstractNumId="34">
    <w:nsid w:val="3FFC69B7"/>
    <w:multiLevelType w:val="multilevel"/>
    <w:tmpl w:val="300A001F"/>
    <w:styleLink w:val="Estilo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2602F81"/>
    <w:multiLevelType w:val="multilevel"/>
    <w:tmpl w:val="E9089200"/>
    <w:styleLink w:val="Estilo3"/>
    <w:lvl w:ilvl="0">
      <w:start w:val="3"/>
      <w:numFmt w:val="decimal"/>
      <w:lvlText w:val="%1."/>
      <w:lvlJc w:val="left"/>
      <w:pPr>
        <w:ind w:left="216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6">
    <w:nsid w:val="44566CD4"/>
    <w:multiLevelType w:val="multilevel"/>
    <w:tmpl w:val="39FCEBE2"/>
    <w:lvl w:ilvl="0">
      <w:start w:val="1"/>
      <w:numFmt w:val="lowerLetter"/>
      <w:lvlText w:val="%1."/>
      <w:lvlJc w:val="left"/>
      <w:pPr>
        <w:ind w:left="1048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768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488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3208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928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648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368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6088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808" w:firstLine="6120"/>
      </w:pPr>
      <w:rPr>
        <w:rFonts w:hint="default"/>
        <w:u w:val="none"/>
      </w:rPr>
    </w:lvl>
  </w:abstractNum>
  <w:abstractNum w:abstractNumId="37">
    <w:nsid w:val="45CD09D0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353" w:hanging="360"/>
      </w:pPr>
    </w:lvl>
    <w:lvl w:ilvl="1" w:tplc="300A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D056F17"/>
    <w:multiLevelType w:val="hybridMultilevel"/>
    <w:tmpl w:val="2DA8026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D2B4289"/>
    <w:multiLevelType w:val="hybridMultilevel"/>
    <w:tmpl w:val="9E52450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51D928A5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5380C14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5543F7B"/>
    <w:multiLevelType w:val="multilevel"/>
    <w:tmpl w:val="886AB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45">
    <w:nsid w:val="56570442"/>
    <w:multiLevelType w:val="multilevel"/>
    <w:tmpl w:val="74AC7DAC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>
    <w:nsid w:val="5C097EA7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5CB851A1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5DDE499F"/>
    <w:multiLevelType w:val="hybridMultilevel"/>
    <w:tmpl w:val="079659C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600B576E"/>
    <w:multiLevelType w:val="multilevel"/>
    <w:tmpl w:val="300A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607C4FA6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63A44A29"/>
    <w:multiLevelType w:val="hybridMultilevel"/>
    <w:tmpl w:val="BFB8A776"/>
    <w:lvl w:ilvl="0" w:tplc="41B2D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43175D1"/>
    <w:multiLevelType w:val="multilevel"/>
    <w:tmpl w:val="39FCEBE2"/>
    <w:lvl w:ilvl="0">
      <w:start w:val="1"/>
      <w:numFmt w:val="lowerLetter"/>
      <w:lvlText w:val="%1."/>
      <w:lvlJc w:val="left"/>
      <w:pPr>
        <w:ind w:left="6303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493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213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1933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653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373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093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4813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533" w:firstLine="6120"/>
      </w:pPr>
      <w:rPr>
        <w:rFonts w:hint="default"/>
        <w:u w:val="none"/>
      </w:rPr>
    </w:lvl>
  </w:abstractNum>
  <w:abstractNum w:abstractNumId="54">
    <w:nsid w:val="653C0941"/>
    <w:multiLevelType w:val="hybridMultilevel"/>
    <w:tmpl w:val="7986819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6755651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67C96882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693E2BDF"/>
    <w:multiLevelType w:val="multilevel"/>
    <w:tmpl w:val="39FCEBE2"/>
    <w:lvl w:ilvl="0">
      <w:start w:val="1"/>
      <w:numFmt w:val="lowerLetter"/>
      <w:lvlText w:val="%1."/>
      <w:lvlJc w:val="left"/>
      <w:pPr>
        <w:ind w:left="1048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768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488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3208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928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648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368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6088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808" w:firstLine="6120"/>
      </w:pPr>
      <w:rPr>
        <w:rFonts w:hint="default"/>
        <w:u w:val="none"/>
      </w:rPr>
    </w:lvl>
  </w:abstractNum>
  <w:abstractNum w:abstractNumId="58">
    <w:nsid w:val="696174B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6BEE6228"/>
    <w:multiLevelType w:val="hybridMultilevel"/>
    <w:tmpl w:val="B1D6FE64"/>
    <w:lvl w:ilvl="0" w:tplc="300A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60">
    <w:nsid w:val="712E36BA"/>
    <w:multiLevelType w:val="hybridMultilevel"/>
    <w:tmpl w:val="80942D9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71D84BBB"/>
    <w:multiLevelType w:val="hybridMultilevel"/>
    <w:tmpl w:val="7CE4C0E6"/>
    <w:lvl w:ilvl="0" w:tplc="300A0017">
      <w:start w:val="1"/>
      <w:numFmt w:val="lowerLetter"/>
      <w:lvlText w:val="%1)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2C6693F"/>
    <w:multiLevelType w:val="hybridMultilevel"/>
    <w:tmpl w:val="FFCA93FA"/>
    <w:lvl w:ilvl="0" w:tplc="300A0019">
      <w:start w:val="1"/>
      <w:numFmt w:val="lowerLetter"/>
      <w:lvlText w:val="%1."/>
      <w:lvlJc w:val="left"/>
      <w:pPr>
        <w:ind w:left="1353" w:hanging="360"/>
      </w:pPr>
    </w:lvl>
    <w:lvl w:ilvl="1" w:tplc="31BC8ABE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70702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7B6A67AA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>
    <w:nsid w:val="7D347801"/>
    <w:multiLevelType w:val="multilevel"/>
    <w:tmpl w:val="DCC8A500"/>
    <w:lvl w:ilvl="0">
      <w:start w:val="3"/>
      <w:numFmt w:val="decimal"/>
      <w:lvlText w:val="%1."/>
      <w:lvlJc w:val="left"/>
      <w:pPr>
        <w:ind w:left="2160" w:hanging="360"/>
      </w:pPr>
      <w:rPr>
        <w:rFonts w:hint="default"/>
        <w:b w:val="0"/>
        <w:sz w:val="20"/>
      </w:rPr>
    </w:lvl>
    <w:lvl w:ilvl="1">
      <w:start w:val="1"/>
      <w:numFmt w:val="decimal"/>
      <w:isLgl/>
      <w:lvlText w:val="%1.%2"/>
      <w:lvlJc w:val="left"/>
      <w:pPr>
        <w:ind w:left="19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67">
    <w:nsid w:val="7DAF70C9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DD93706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69">
    <w:nsid w:val="7E9207C6"/>
    <w:multiLevelType w:val="multilevel"/>
    <w:tmpl w:val="39FCEBE2"/>
    <w:lvl w:ilvl="0">
      <w:start w:val="1"/>
      <w:numFmt w:val="lowerLetter"/>
      <w:lvlText w:val="%1."/>
      <w:lvlJc w:val="left"/>
      <w:pPr>
        <w:ind w:left="6303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493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213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1933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653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373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093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4813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533" w:firstLine="6120"/>
      </w:pPr>
      <w:rPr>
        <w:rFonts w:hint="default"/>
        <w:u w:val="none"/>
      </w:rPr>
    </w:lvl>
  </w:abstractNum>
  <w:abstractNum w:abstractNumId="70">
    <w:nsid w:val="7EB41EBF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num w:numId="1">
    <w:abstractNumId w:val="30"/>
  </w:num>
  <w:num w:numId="2">
    <w:abstractNumId w:val="3"/>
  </w:num>
  <w:num w:numId="3">
    <w:abstractNumId w:val="34"/>
  </w:num>
  <w:num w:numId="4">
    <w:abstractNumId w:val="6"/>
  </w:num>
  <w:num w:numId="5">
    <w:abstractNumId w:val="35"/>
  </w:num>
  <w:num w:numId="6">
    <w:abstractNumId w:val="66"/>
  </w:num>
  <w:num w:numId="7">
    <w:abstractNumId w:val="8"/>
  </w:num>
  <w:num w:numId="8">
    <w:abstractNumId w:val="9"/>
  </w:num>
  <w:num w:numId="9">
    <w:abstractNumId w:val="21"/>
  </w:num>
  <w:num w:numId="10">
    <w:abstractNumId w:val="55"/>
  </w:num>
  <w:num w:numId="11">
    <w:abstractNumId w:val="12"/>
  </w:num>
  <w:num w:numId="12">
    <w:abstractNumId w:val="41"/>
  </w:num>
  <w:num w:numId="13">
    <w:abstractNumId w:val="57"/>
  </w:num>
  <w:num w:numId="14">
    <w:abstractNumId w:val="22"/>
  </w:num>
  <w:num w:numId="15">
    <w:abstractNumId w:val="14"/>
  </w:num>
  <w:num w:numId="16">
    <w:abstractNumId w:val="39"/>
  </w:num>
  <w:num w:numId="17">
    <w:abstractNumId w:val="44"/>
  </w:num>
  <w:num w:numId="18">
    <w:abstractNumId w:val="15"/>
  </w:num>
  <w:num w:numId="19">
    <w:abstractNumId w:val="46"/>
  </w:num>
  <w:num w:numId="20">
    <w:abstractNumId w:val="70"/>
  </w:num>
  <w:num w:numId="21">
    <w:abstractNumId w:val="68"/>
  </w:num>
  <w:num w:numId="22">
    <w:abstractNumId w:val="0"/>
  </w:num>
  <w:num w:numId="23">
    <w:abstractNumId w:val="40"/>
  </w:num>
  <w:num w:numId="24">
    <w:abstractNumId w:val="53"/>
  </w:num>
  <w:num w:numId="25">
    <w:abstractNumId w:val="33"/>
  </w:num>
  <w:num w:numId="26">
    <w:abstractNumId w:val="16"/>
  </w:num>
  <w:num w:numId="27">
    <w:abstractNumId w:val="27"/>
  </w:num>
  <w:num w:numId="28">
    <w:abstractNumId w:val="52"/>
  </w:num>
  <w:num w:numId="29">
    <w:abstractNumId w:val="51"/>
  </w:num>
  <w:num w:numId="30">
    <w:abstractNumId w:val="1"/>
  </w:num>
  <w:num w:numId="31">
    <w:abstractNumId w:val="26"/>
  </w:num>
  <w:num w:numId="32">
    <w:abstractNumId w:val="58"/>
  </w:num>
  <w:num w:numId="33">
    <w:abstractNumId w:val="45"/>
  </w:num>
  <w:num w:numId="34">
    <w:abstractNumId w:val="43"/>
  </w:num>
  <w:num w:numId="35">
    <w:abstractNumId w:val="37"/>
  </w:num>
  <w:num w:numId="36">
    <w:abstractNumId w:val="42"/>
  </w:num>
  <w:num w:numId="37">
    <w:abstractNumId w:val="10"/>
  </w:num>
  <w:num w:numId="38">
    <w:abstractNumId w:val="25"/>
  </w:num>
  <w:num w:numId="39">
    <w:abstractNumId w:val="54"/>
  </w:num>
  <w:num w:numId="40">
    <w:abstractNumId w:val="18"/>
  </w:num>
  <w:num w:numId="41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"/>
  </w:num>
  <w:num w:numId="44">
    <w:abstractNumId w:val="64"/>
  </w:num>
  <w:num w:numId="4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3"/>
  </w:num>
  <w:num w:numId="52">
    <w:abstractNumId w:val="5"/>
  </w:num>
  <w:num w:numId="53">
    <w:abstractNumId w:val="19"/>
  </w:num>
  <w:num w:numId="54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9"/>
  </w:num>
  <w:num w:numId="56">
    <w:abstractNumId w:val="11"/>
  </w:num>
  <w:num w:numId="57">
    <w:abstractNumId w:val="24"/>
  </w:num>
  <w:num w:numId="58">
    <w:abstractNumId w:val="4"/>
  </w:num>
  <w:num w:numId="59">
    <w:abstractNumId w:val="56"/>
  </w:num>
  <w:num w:numId="60">
    <w:abstractNumId w:val="29"/>
  </w:num>
  <w:num w:numId="61">
    <w:abstractNumId w:val="48"/>
  </w:num>
  <w:num w:numId="6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3"/>
  </w:num>
  <w:num w:numId="64">
    <w:abstractNumId w:val="65"/>
  </w:num>
  <w:num w:numId="65">
    <w:abstractNumId w:val="62"/>
  </w:num>
  <w:num w:numId="66">
    <w:abstractNumId w:val="36"/>
  </w:num>
  <w:num w:numId="67">
    <w:abstractNumId w:val="20"/>
  </w:num>
  <w:num w:numId="68">
    <w:abstractNumId w:val="69"/>
  </w:num>
  <w:num w:numId="69">
    <w:abstractNumId w:val="32"/>
  </w:num>
  <w:num w:numId="70">
    <w:abstractNumId w:val="17"/>
  </w:num>
  <w:num w:numId="71">
    <w:abstractNumId w:val="47"/>
  </w:num>
  <w:num w:numId="72">
    <w:abstractNumId w:val="67"/>
  </w:num>
  <w:num w:numId="73">
    <w:abstractNumId w:val="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83"/>
    <w:rsid w:val="00002524"/>
    <w:rsid w:val="00003984"/>
    <w:rsid w:val="00005385"/>
    <w:rsid w:val="00007426"/>
    <w:rsid w:val="0001204F"/>
    <w:rsid w:val="00012822"/>
    <w:rsid w:val="0001433D"/>
    <w:rsid w:val="00015E52"/>
    <w:rsid w:val="00022912"/>
    <w:rsid w:val="00026232"/>
    <w:rsid w:val="000273F8"/>
    <w:rsid w:val="000322FD"/>
    <w:rsid w:val="0003707D"/>
    <w:rsid w:val="00040704"/>
    <w:rsid w:val="00045C26"/>
    <w:rsid w:val="00052478"/>
    <w:rsid w:val="000529D7"/>
    <w:rsid w:val="00054CFD"/>
    <w:rsid w:val="0005669F"/>
    <w:rsid w:val="00062750"/>
    <w:rsid w:val="0006322E"/>
    <w:rsid w:val="00064F84"/>
    <w:rsid w:val="00065437"/>
    <w:rsid w:val="000675DE"/>
    <w:rsid w:val="00067BB6"/>
    <w:rsid w:val="00067E51"/>
    <w:rsid w:val="000709B4"/>
    <w:rsid w:val="00071678"/>
    <w:rsid w:val="00071B45"/>
    <w:rsid w:val="000721A5"/>
    <w:rsid w:val="00073080"/>
    <w:rsid w:val="00077F02"/>
    <w:rsid w:val="0008303A"/>
    <w:rsid w:val="000839EF"/>
    <w:rsid w:val="0008527F"/>
    <w:rsid w:val="00086F9C"/>
    <w:rsid w:val="00094256"/>
    <w:rsid w:val="00096913"/>
    <w:rsid w:val="0009763F"/>
    <w:rsid w:val="000A23B6"/>
    <w:rsid w:val="000A3E4B"/>
    <w:rsid w:val="000A5102"/>
    <w:rsid w:val="000B0B86"/>
    <w:rsid w:val="000B208C"/>
    <w:rsid w:val="000B3B47"/>
    <w:rsid w:val="000B490E"/>
    <w:rsid w:val="000B5F7C"/>
    <w:rsid w:val="000C0B27"/>
    <w:rsid w:val="000C15C3"/>
    <w:rsid w:val="000C1A79"/>
    <w:rsid w:val="000C3233"/>
    <w:rsid w:val="000C477F"/>
    <w:rsid w:val="000C6E02"/>
    <w:rsid w:val="000C6F74"/>
    <w:rsid w:val="000D0A17"/>
    <w:rsid w:val="000D0DFA"/>
    <w:rsid w:val="000D168E"/>
    <w:rsid w:val="000D31F1"/>
    <w:rsid w:val="000D31F7"/>
    <w:rsid w:val="000D5262"/>
    <w:rsid w:val="000D6475"/>
    <w:rsid w:val="000D694C"/>
    <w:rsid w:val="000E0A3F"/>
    <w:rsid w:val="000E0A56"/>
    <w:rsid w:val="000E1584"/>
    <w:rsid w:val="000E4254"/>
    <w:rsid w:val="000E586A"/>
    <w:rsid w:val="000F0D33"/>
    <w:rsid w:val="00100F85"/>
    <w:rsid w:val="00103ED1"/>
    <w:rsid w:val="00105116"/>
    <w:rsid w:val="00105182"/>
    <w:rsid w:val="001076DB"/>
    <w:rsid w:val="001142F1"/>
    <w:rsid w:val="001159D9"/>
    <w:rsid w:val="00122D59"/>
    <w:rsid w:val="00126B0A"/>
    <w:rsid w:val="0012779B"/>
    <w:rsid w:val="001335CD"/>
    <w:rsid w:val="00135AEF"/>
    <w:rsid w:val="00144626"/>
    <w:rsid w:val="00153C05"/>
    <w:rsid w:val="001548EE"/>
    <w:rsid w:val="0015593F"/>
    <w:rsid w:val="00162C2B"/>
    <w:rsid w:val="00163961"/>
    <w:rsid w:val="00166AA0"/>
    <w:rsid w:val="00174EC4"/>
    <w:rsid w:val="001764BB"/>
    <w:rsid w:val="00176FBD"/>
    <w:rsid w:val="0017793E"/>
    <w:rsid w:val="00182F49"/>
    <w:rsid w:val="001871DF"/>
    <w:rsid w:val="00193A56"/>
    <w:rsid w:val="001A3316"/>
    <w:rsid w:val="001A3D75"/>
    <w:rsid w:val="001A4DB9"/>
    <w:rsid w:val="001A5621"/>
    <w:rsid w:val="001A5DB5"/>
    <w:rsid w:val="001A6829"/>
    <w:rsid w:val="001A720C"/>
    <w:rsid w:val="001B054E"/>
    <w:rsid w:val="001B32E3"/>
    <w:rsid w:val="001B3949"/>
    <w:rsid w:val="001B3E53"/>
    <w:rsid w:val="001B490F"/>
    <w:rsid w:val="001B58F0"/>
    <w:rsid w:val="001C0515"/>
    <w:rsid w:val="001C406F"/>
    <w:rsid w:val="001C7E5F"/>
    <w:rsid w:val="001D1E0B"/>
    <w:rsid w:val="001D3461"/>
    <w:rsid w:val="001D4951"/>
    <w:rsid w:val="001D656A"/>
    <w:rsid w:val="001E254A"/>
    <w:rsid w:val="001E58BC"/>
    <w:rsid w:val="001E6707"/>
    <w:rsid w:val="001F7A53"/>
    <w:rsid w:val="002052DC"/>
    <w:rsid w:val="002118B9"/>
    <w:rsid w:val="00212FCF"/>
    <w:rsid w:val="002206C0"/>
    <w:rsid w:val="002207AB"/>
    <w:rsid w:val="002238D6"/>
    <w:rsid w:val="00227117"/>
    <w:rsid w:val="00227694"/>
    <w:rsid w:val="0023071D"/>
    <w:rsid w:val="00233D2E"/>
    <w:rsid w:val="0023745C"/>
    <w:rsid w:val="00240C41"/>
    <w:rsid w:val="0024158E"/>
    <w:rsid w:val="0024370F"/>
    <w:rsid w:val="002438D9"/>
    <w:rsid w:val="00247761"/>
    <w:rsid w:val="0025058A"/>
    <w:rsid w:val="0025429C"/>
    <w:rsid w:val="00256D4F"/>
    <w:rsid w:val="00260F09"/>
    <w:rsid w:val="00261B6E"/>
    <w:rsid w:val="00270854"/>
    <w:rsid w:val="00273DF6"/>
    <w:rsid w:val="00274D9C"/>
    <w:rsid w:val="00276550"/>
    <w:rsid w:val="00285C47"/>
    <w:rsid w:val="002876FE"/>
    <w:rsid w:val="0029064A"/>
    <w:rsid w:val="002909B7"/>
    <w:rsid w:val="0029283A"/>
    <w:rsid w:val="002A16DA"/>
    <w:rsid w:val="002A1F29"/>
    <w:rsid w:val="002B2C54"/>
    <w:rsid w:val="002B4071"/>
    <w:rsid w:val="002B7ADB"/>
    <w:rsid w:val="002C3105"/>
    <w:rsid w:val="002D3A85"/>
    <w:rsid w:val="002D555C"/>
    <w:rsid w:val="002E2C4B"/>
    <w:rsid w:val="002E7766"/>
    <w:rsid w:val="002E781E"/>
    <w:rsid w:val="002E788E"/>
    <w:rsid w:val="002F4FBF"/>
    <w:rsid w:val="002F7073"/>
    <w:rsid w:val="00313468"/>
    <w:rsid w:val="003259D3"/>
    <w:rsid w:val="00327FEC"/>
    <w:rsid w:val="003322F4"/>
    <w:rsid w:val="00332779"/>
    <w:rsid w:val="003350E9"/>
    <w:rsid w:val="0033630A"/>
    <w:rsid w:val="00336D13"/>
    <w:rsid w:val="00337B0F"/>
    <w:rsid w:val="00342357"/>
    <w:rsid w:val="00346A2F"/>
    <w:rsid w:val="0035356C"/>
    <w:rsid w:val="00353A8A"/>
    <w:rsid w:val="00354AFF"/>
    <w:rsid w:val="00356A0F"/>
    <w:rsid w:val="00365FCB"/>
    <w:rsid w:val="00366D7D"/>
    <w:rsid w:val="00367DA7"/>
    <w:rsid w:val="003740B6"/>
    <w:rsid w:val="00381503"/>
    <w:rsid w:val="00382260"/>
    <w:rsid w:val="003822FD"/>
    <w:rsid w:val="00382D1A"/>
    <w:rsid w:val="00386684"/>
    <w:rsid w:val="00390774"/>
    <w:rsid w:val="00390817"/>
    <w:rsid w:val="00390DB7"/>
    <w:rsid w:val="00390E46"/>
    <w:rsid w:val="00391637"/>
    <w:rsid w:val="0039542B"/>
    <w:rsid w:val="0039698B"/>
    <w:rsid w:val="003A1A5B"/>
    <w:rsid w:val="003A4C5C"/>
    <w:rsid w:val="003A6A94"/>
    <w:rsid w:val="003B2E84"/>
    <w:rsid w:val="003B53F1"/>
    <w:rsid w:val="003B6928"/>
    <w:rsid w:val="003C02A1"/>
    <w:rsid w:val="003C41B3"/>
    <w:rsid w:val="003C5B99"/>
    <w:rsid w:val="003D70E3"/>
    <w:rsid w:val="003E04CC"/>
    <w:rsid w:val="003E43A6"/>
    <w:rsid w:val="003F387B"/>
    <w:rsid w:val="003F3D93"/>
    <w:rsid w:val="003F5AE7"/>
    <w:rsid w:val="0040156D"/>
    <w:rsid w:val="00401645"/>
    <w:rsid w:val="00401AF7"/>
    <w:rsid w:val="004033CF"/>
    <w:rsid w:val="00403901"/>
    <w:rsid w:val="0040390A"/>
    <w:rsid w:val="004053D8"/>
    <w:rsid w:val="00407B48"/>
    <w:rsid w:val="00411CD2"/>
    <w:rsid w:val="00413A0E"/>
    <w:rsid w:val="004176A2"/>
    <w:rsid w:val="004249BF"/>
    <w:rsid w:val="004251C3"/>
    <w:rsid w:val="00427DD0"/>
    <w:rsid w:val="00436C79"/>
    <w:rsid w:val="00437C16"/>
    <w:rsid w:val="00437C58"/>
    <w:rsid w:val="00441341"/>
    <w:rsid w:val="004421B1"/>
    <w:rsid w:val="004568A1"/>
    <w:rsid w:val="004579C8"/>
    <w:rsid w:val="0046439E"/>
    <w:rsid w:val="0046531A"/>
    <w:rsid w:val="004661E7"/>
    <w:rsid w:val="00470FB4"/>
    <w:rsid w:val="00475449"/>
    <w:rsid w:val="004755D4"/>
    <w:rsid w:val="00476622"/>
    <w:rsid w:val="004775D7"/>
    <w:rsid w:val="004801C3"/>
    <w:rsid w:val="00481CA3"/>
    <w:rsid w:val="00481F47"/>
    <w:rsid w:val="00484037"/>
    <w:rsid w:val="0049338E"/>
    <w:rsid w:val="0049507F"/>
    <w:rsid w:val="004975FA"/>
    <w:rsid w:val="004A644A"/>
    <w:rsid w:val="004B0F49"/>
    <w:rsid w:val="004B1428"/>
    <w:rsid w:val="004B1721"/>
    <w:rsid w:val="004B4B3F"/>
    <w:rsid w:val="004B5173"/>
    <w:rsid w:val="004B6864"/>
    <w:rsid w:val="004C139E"/>
    <w:rsid w:val="004C3383"/>
    <w:rsid w:val="004C4B65"/>
    <w:rsid w:val="004C56DC"/>
    <w:rsid w:val="004C6A22"/>
    <w:rsid w:val="004C7F9D"/>
    <w:rsid w:val="004D104C"/>
    <w:rsid w:val="004D2233"/>
    <w:rsid w:val="004D29FA"/>
    <w:rsid w:val="004D697C"/>
    <w:rsid w:val="004D771F"/>
    <w:rsid w:val="004D7E03"/>
    <w:rsid w:val="004E015A"/>
    <w:rsid w:val="004E05CA"/>
    <w:rsid w:val="004E120B"/>
    <w:rsid w:val="004E24DC"/>
    <w:rsid w:val="004E30B0"/>
    <w:rsid w:val="004E4DE1"/>
    <w:rsid w:val="004E4EF4"/>
    <w:rsid w:val="004E772A"/>
    <w:rsid w:val="004F1017"/>
    <w:rsid w:val="004F1FEC"/>
    <w:rsid w:val="004F269C"/>
    <w:rsid w:val="004F454A"/>
    <w:rsid w:val="004F58B2"/>
    <w:rsid w:val="004F601C"/>
    <w:rsid w:val="00501F61"/>
    <w:rsid w:val="00512758"/>
    <w:rsid w:val="005147DF"/>
    <w:rsid w:val="00514950"/>
    <w:rsid w:val="00515244"/>
    <w:rsid w:val="00516A24"/>
    <w:rsid w:val="00520023"/>
    <w:rsid w:val="0052007C"/>
    <w:rsid w:val="00520668"/>
    <w:rsid w:val="005241DB"/>
    <w:rsid w:val="0052663E"/>
    <w:rsid w:val="00531F34"/>
    <w:rsid w:val="00532AA5"/>
    <w:rsid w:val="00535E3A"/>
    <w:rsid w:val="00537468"/>
    <w:rsid w:val="0055206E"/>
    <w:rsid w:val="00552907"/>
    <w:rsid w:val="00553650"/>
    <w:rsid w:val="005541EC"/>
    <w:rsid w:val="00555E33"/>
    <w:rsid w:val="005616DA"/>
    <w:rsid w:val="00562381"/>
    <w:rsid w:val="00563A1F"/>
    <w:rsid w:val="00566654"/>
    <w:rsid w:val="00567272"/>
    <w:rsid w:val="00567E57"/>
    <w:rsid w:val="00571040"/>
    <w:rsid w:val="00571522"/>
    <w:rsid w:val="0058095D"/>
    <w:rsid w:val="00584218"/>
    <w:rsid w:val="00587971"/>
    <w:rsid w:val="00587F6C"/>
    <w:rsid w:val="005930CE"/>
    <w:rsid w:val="005972DE"/>
    <w:rsid w:val="005A0314"/>
    <w:rsid w:val="005A506D"/>
    <w:rsid w:val="005A561E"/>
    <w:rsid w:val="005B0794"/>
    <w:rsid w:val="005B2005"/>
    <w:rsid w:val="005B47B0"/>
    <w:rsid w:val="005B4E03"/>
    <w:rsid w:val="005B7070"/>
    <w:rsid w:val="005D1696"/>
    <w:rsid w:val="005D5D4E"/>
    <w:rsid w:val="005D66EA"/>
    <w:rsid w:val="005E08E3"/>
    <w:rsid w:val="005E1A41"/>
    <w:rsid w:val="005E6D52"/>
    <w:rsid w:val="005E7DBD"/>
    <w:rsid w:val="005F2106"/>
    <w:rsid w:val="005F404C"/>
    <w:rsid w:val="005F56E6"/>
    <w:rsid w:val="005F596C"/>
    <w:rsid w:val="005F6CEA"/>
    <w:rsid w:val="0060019D"/>
    <w:rsid w:val="00600FE0"/>
    <w:rsid w:val="00601C7F"/>
    <w:rsid w:val="00601D66"/>
    <w:rsid w:val="00605383"/>
    <w:rsid w:val="00605396"/>
    <w:rsid w:val="0060611D"/>
    <w:rsid w:val="006067FF"/>
    <w:rsid w:val="0061188B"/>
    <w:rsid w:val="00613EE7"/>
    <w:rsid w:val="00614DA9"/>
    <w:rsid w:val="00617AB2"/>
    <w:rsid w:val="0062095B"/>
    <w:rsid w:val="00620B5E"/>
    <w:rsid w:val="006223B8"/>
    <w:rsid w:val="0062246E"/>
    <w:rsid w:val="00626F3F"/>
    <w:rsid w:val="00627FF8"/>
    <w:rsid w:val="0063013C"/>
    <w:rsid w:val="00630B2D"/>
    <w:rsid w:val="00630C2B"/>
    <w:rsid w:val="00630ECC"/>
    <w:rsid w:val="0063286B"/>
    <w:rsid w:val="00635B1A"/>
    <w:rsid w:val="00641F5C"/>
    <w:rsid w:val="00643159"/>
    <w:rsid w:val="00643DF1"/>
    <w:rsid w:val="00645DCA"/>
    <w:rsid w:val="006525D3"/>
    <w:rsid w:val="00655734"/>
    <w:rsid w:val="00655AC6"/>
    <w:rsid w:val="00660430"/>
    <w:rsid w:val="006622D5"/>
    <w:rsid w:val="0066543C"/>
    <w:rsid w:val="006705D8"/>
    <w:rsid w:val="006722DC"/>
    <w:rsid w:val="00672618"/>
    <w:rsid w:val="006770F4"/>
    <w:rsid w:val="00677B70"/>
    <w:rsid w:val="006813A9"/>
    <w:rsid w:val="00684BA0"/>
    <w:rsid w:val="00690776"/>
    <w:rsid w:val="006931A8"/>
    <w:rsid w:val="0069620D"/>
    <w:rsid w:val="006970F4"/>
    <w:rsid w:val="006A59ED"/>
    <w:rsid w:val="006A7BBD"/>
    <w:rsid w:val="006B1BA2"/>
    <w:rsid w:val="006B43C5"/>
    <w:rsid w:val="006C122A"/>
    <w:rsid w:val="006C310C"/>
    <w:rsid w:val="006C320E"/>
    <w:rsid w:val="006C7C01"/>
    <w:rsid w:val="006D04EF"/>
    <w:rsid w:val="006D1716"/>
    <w:rsid w:val="006D3693"/>
    <w:rsid w:val="006D6E2F"/>
    <w:rsid w:val="006D7DBC"/>
    <w:rsid w:val="006E0BA6"/>
    <w:rsid w:val="006E0F46"/>
    <w:rsid w:val="006E12E1"/>
    <w:rsid w:val="006F1BA5"/>
    <w:rsid w:val="006F58D9"/>
    <w:rsid w:val="006F7CA1"/>
    <w:rsid w:val="00700205"/>
    <w:rsid w:val="00700C65"/>
    <w:rsid w:val="00702958"/>
    <w:rsid w:val="0070451D"/>
    <w:rsid w:val="007103DE"/>
    <w:rsid w:val="007151DB"/>
    <w:rsid w:val="007156BD"/>
    <w:rsid w:val="00716EF0"/>
    <w:rsid w:val="007173A2"/>
    <w:rsid w:val="00717F19"/>
    <w:rsid w:val="00721E7E"/>
    <w:rsid w:val="0072721F"/>
    <w:rsid w:val="00727BD2"/>
    <w:rsid w:val="00727C43"/>
    <w:rsid w:val="007305B5"/>
    <w:rsid w:val="00731D18"/>
    <w:rsid w:val="00734036"/>
    <w:rsid w:val="00737BC6"/>
    <w:rsid w:val="0074000E"/>
    <w:rsid w:val="0074050A"/>
    <w:rsid w:val="007435E5"/>
    <w:rsid w:val="00744D18"/>
    <w:rsid w:val="00750F81"/>
    <w:rsid w:val="00753C61"/>
    <w:rsid w:val="00757A95"/>
    <w:rsid w:val="00760EC4"/>
    <w:rsid w:val="00763DDF"/>
    <w:rsid w:val="00764A8F"/>
    <w:rsid w:val="00765FEE"/>
    <w:rsid w:val="0077128B"/>
    <w:rsid w:val="00771C80"/>
    <w:rsid w:val="007723DB"/>
    <w:rsid w:val="00776DFF"/>
    <w:rsid w:val="00780F2D"/>
    <w:rsid w:val="007816C9"/>
    <w:rsid w:val="00783D05"/>
    <w:rsid w:val="007850E6"/>
    <w:rsid w:val="007904D6"/>
    <w:rsid w:val="00790814"/>
    <w:rsid w:val="00794A30"/>
    <w:rsid w:val="00795618"/>
    <w:rsid w:val="007956EF"/>
    <w:rsid w:val="00795C50"/>
    <w:rsid w:val="00797DDC"/>
    <w:rsid w:val="007A0983"/>
    <w:rsid w:val="007A2666"/>
    <w:rsid w:val="007A2DD8"/>
    <w:rsid w:val="007A6E33"/>
    <w:rsid w:val="007B100A"/>
    <w:rsid w:val="007B70A9"/>
    <w:rsid w:val="007C26B3"/>
    <w:rsid w:val="007C5B6B"/>
    <w:rsid w:val="007D2C28"/>
    <w:rsid w:val="007D59FE"/>
    <w:rsid w:val="007E0D9B"/>
    <w:rsid w:val="007E3671"/>
    <w:rsid w:val="007E58E8"/>
    <w:rsid w:val="007E5FCB"/>
    <w:rsid w:val="007F33A3"/>
    <w:rsid w:val="007F64DB"/>
    <w:rsid w:val="007F7410"/>
    <w:rsid w:val="00801E19"/>
    <w:rsid w:val="00801F28"/>
    <w:rsid w:val="008028F8"/>
    <w:rsid w:val="008029F3"/>
    <w:rsid w:val="008066F3"/>
    <w:rsid w:val="008070F1"/>
    <w:rsid w:val="008077FC"/>
    <w:rsid w:val="00807D9B"/>
    <w:rsid w:val="0082000D"/>
    <w:rsid w:val="0082054B"/>
    <w:rsid w:val="00821C5D"/>
    <w:rsid w:val="008259C1"/>
    <w:rsid w:val="00826C5E"/>
    <w:rsid w:val="00833F8C"/>
    <w:rsid w:val="00834ADA"/>
    <w:rsid w:val="00835251"/>
    <w:rsid w:val="00840CF6"/>
    <w:rsid w:val="00843D3E"/>
    <w:rsid w:val="00846E64"/>
    <w:rsid w:val="008470AD"/>
    <w:rsid w:val="00850917"/>
    <w:rsid w:val="00851B17"/>
    <w:rsid w:val="00856AF5"/>
    <w:rsid w:val="00857CED"/>
    <w:rsid w:val="00857E4A"/>
    <w:rsid w:val="00860E4A"/>
    <w:rsid w:val="00861C1B"/>
    <w:rsid w:val="008655C1"/>
    <w:rsid w:val="00865B38"/>
    <w:rsid w:val="00866EBD"/>
    <w:rsid w:val="008677CF"/>
    <w:rsid w:val="00871FEB"/>
    <w:rsid w:val="00874B2C"/>
    <w:rsid w:val="0087503D"/>
    <w:rsid w:val="0088557E"/>
    <w:rsid w:val="0089340C"/>
    <w:rsid w:val="008950BE"/>
    <w:rsid w:val="00897332"/>
    <w:rsid w:val="008A01E3"/>
    <w:rsid w:val="008A052C"/>
    <w:rsid w:val="008A4698"/>
    <w:rsid w:val="008A63E3"/>
    <w:rsid w:val="008C04D8"/>
    <w:rsid w:val="008C17C1"/>
    <w:rsid w:val="008C1DD7"/>
    <w:rsid w:val="008C46E1"/>
    <w:rsid w:val="008C49EF"/>
    <w:rsid w:val="008C6536"/>
    <w:rsid w:val="008D03AB"/>
    <w:rsid w:val="008D13C3"/>
    <w:rsid w:val="008D571A"/>
    <w:rsid w:val="008E22FD"/>
    <w:rsid w:val="008E5823"/>
    <w:rsid w:val="008E5C6E"/>
    <w:rsid w:val="008F2153"/>
    <w:rsid w:val="008F4299"/>
    <w:rsid w:val="00905BFD"/>
    <w:rsid w:val="0090706B"/>
    <w:rsid w:val="00913EC4"/>
    <w:rsid w:val="009149BD"/>
    <w:rsid w:val="009164C1"/>
    <w:rsid w:val="00916F60"/>
    <w:rsid w:val="0091705B"/>
    <w:rsid w:val="009175AA"/>
    <w:rsid w:val="009175E9"/>
    <w:rsid w:val="009233D0"/>
    <w:rsid w:val="00930468"/>
    <w:rsid w:val="00932ADF"/>
    <w:rsid w:val="009346A9"/>
    <w:rsid w:val="00935EF3"/>
    <w:rsid w:val="0093698D"/>
    <w:rsid w:val="00941541"/>
    <w:rsid w:val="0094181B"/>
    <w:rsid w:val="00943C3E"/>
    <w:rsid w:val="009457F0"/>
    <w:rsid w:val="009472CA"/>
    <w:rsid w:val="009514F3"/>
    <w:rsid w:val="0095165D"/>
    <w:rsid w:val="009576A0"/>
    <w:rsid w:val="009615E8"/>
    <w:rsid w:val="00962E2F"/>
    <w:rsid w:val="00963D35"/>
    <w:rsid w:val="00967DEB"/>
    <w:rsid w:val="00970165"/>
    <w:rsid w:val="00971547"/>
    <w:rsid w:val="00972258"/>
    <w:rsid w:val="00973D91"/>
    <w:rsid w:val="0097545B"/>
    <w:rsid w:val="00976C2B"/>
    <w:rsid w:val="00984C37"/>
    <w:rsid w:val="009852A4"/>
    <w:rsid w:val="00986545"/>
    <w:rsid w:val="0099175F"/>
    <w:rsid w:val="009929CA"/>
    <w:rsid w:val="00993714"/>
    <w:rsid w:val="00994819"/>
    <w:rsid w:val="009955E8"/>
    <w:rsid w:val="009A0B14"/>
    <w:rsid w:val="009B2CCA"/>
    <w:rsid w:val="009B5F7E"/>
    <w:rsid w:val="009B7697"/>
    <w:rsid w:val="009C0A0B"/>
    <w:rsid w:val="009C0F8D"/>
    <w:rsid w:val="009C29C3"/>
    <w:rsid w:val="009D0293"/>
    <w:rsid w:val="009D0392"/>
    <w:rsid w:val="009D0ADB"/>
    <w:rsid w:val="009E1D71"/>
    <w:rsid w:val="009E6400"/>
    <w:rsid w:val="009F2B62"/>
    <w:rsid w:val="009F3ED3"/>
    <w:rsid w:val="009F587E"/>
    <w:rsid w:val="009F6B2C"/>
    <w:rsid w:val="009F6F5E"/>
    <w:rsid w:val="009F7941"/>
    <w:rsid w:val="00A02073"/>
    <w:rsid w:val="00A04A8D"/>
    <w:rsid w:val="00A05010"/>
    <w:rsid w:val="00A056E3"/>
    <w:rsid w:val="00A05C71"/>
    <w:rsid w:val="00A12E97"/>
    <w:rsid w:val="00A13B77"/>
    <w:rsid w:val="00A1418B"/>
    <w:rsid w:val="00A20A95"/>
    <w:rsid w:val="00A2196C"/>
    <w:rsid w:val="00A2290F"/>
    <w:rsid w:val="00A30659"/>
    <w:rsid w:val="00A33C92"/>
    <w:rsid w:val="00A418DA"/>
    <w:rsid w:val="00A430C2"/>
    <w:rsid w:val="00A44657"/>
    <w:rsid w:val="00A44D2C"/>
    <w:rsid w:val="00A44E5F"/>
    <w:rsid w:val="00A46FCF"/>
    <w:rsid w:val="00A50AA1"/>
    <w:rsid w:val="00A54C13"/>
    <w:rsid w:val="00A56594"/>
    <w:rsid w:val="00A57DA5"/>
    <w:rsid w:val="00A60B7A"/>
    <w:rsid w:val="00A63A87"/>
    <w:rsid w:val="00A654BC"/>
    <w:rsid w:val="00A73ABD"/>
    <w:rsid w:val="00A73F8E"/>
    <w:rsid w:val="00A76D08"/>
    <w:rsid w:val="00A76EDF"/>
    <w:rsid w:val="00A76FC1"/>
    <w:rsid w:val="00A8382B"/>
    <w:rsid w:val="00A83C41"/>
    <w:rsid w:val="00A911B4"/>
    <w:rsid w:val="00A9233E"/>
    <w:rsid w:val="00A93033"/>
    <w:rsid w:val="00A945C0"/>
    <w:rsid w:val="00A94DCF"/>
    <w:rsid w:val="00A95C96"/>
    <w:rsid w:val="00A97A95"/>
    <w:rsid w:val="00AA06F4"/>
    <w:rsid w:val="00AA1001"/>
    <w:rsid w:val="00AA1361"/>
    <w:rsid w:val="00AA1677"/>
    <w:rsid w:val="00AA18E6"/>
    <w:rsid w:val="00AA372B"/>
    <w:rsid w:val="00AA605D"/>
    <w:rsid w:val="00AA67C7"/>
    <w:rsid w:val="00AB5E82"/>
    <w:rsid w:val="00AB6F7A"/>
    <w:rsid w:val="00AE06A6"/>
    <w:rsid w:val="00AE4B78"/>
    <w:rsid w:val="00AF44A5"/>
    <w:rsid w:val="00AF6322"/>
    <w:rsid w:val="00B00BAF"/>
    <w:rsid w:val="00B00BB0"/>
    <w:rsid w:val="00B07959"/>
    <w:rsid w:val="00B112F3"/>
    <w:rsid w:val="00B125C4"/>
    <w:rsid w:val="00B14C6F"/>
    <w:rsid w:val="00B16EE0"/>
    <w:rsid w:val="00B20B15"/>
    <w:rsid w:val="00B23E6D"/>
    <w:rsid w:val="00B23F6B"/>
    <w:rsid w:val="00B26097"/>
    <w:rsid w:val="00B26D50"/>
    <w:rsid w:val="00B27CE5"/>
    <w:rsid w:val="00B31013"/>
    <w:rsid w:val="00B345AE"/>
    <w:rsid w:val="00B54BC4"/>
    <w:rsid w:val="00B57A66"/>
    <w:rsid w:val="00B6284B"/>
    <w:rsid w:val="00B65E7E"/>
    <w:rsid w:val="00B746EF"/>
    <w:rsid w:val="00B74A02"/>
    <w:rsid w:val="00B763B5"/>
    <w:rsid w:val="00B80673"/>
    <w:rsid w:val="00B81259"/>
    <w:rsid w:val="00B833A8"/>
    <w:rsid w:val="00B87749"/>
    <w:rsid w:val="00B925A2"/>
    <w:rsid w:val="00B93046"/>
    <w:rsid w:val="00B93F2C"/>
    <w:rsid w:val="00BA1750"/>
    <w:rsid w:val="00BA1E80"/>
    <w:rsid w:val="00BA4E3F"/>
    <w:rsid w:val="00BA706F"/>
    <w:rsid w:val="00BA74E7"/>
    <w:rsid w:val="00BA7D49"/>
    <w:rsid w:val="00BB12BC"/>
    <w:rsid w:val="00BB1A2B"/>
    <w:rsid w:val="00BB20D5"/>
    <w:rsid w:val="00BB382B"/>
    <w:rsid w:val="00BB4F2A"/>
    <w:rsid w:val="00BC0C22"/>
    <w:rsid w:val="00BD2F15"/>
    <w:rsid w:val="00BD577E"/>
    <w:rsid w:val="00BD5EA7"/>
    <w:rsid w:val="00BD6049"/>
    <w:rsid w:val="00BD6E21"/>
    <w:rsid w:val="00BE0588"/>
    <w:rsid w:val="00BE09A8"/>
    <w:rsid w:val="00BE28D2"/>
    <w:rsid w:val="00BE3254"/>
    <w:rsid w:val="00BE3CDD"/>
    <w:rsid w:val="00BE4791"/>
    <w:rsid w:val="00BF64D7"/>
    <w:rsid w:val="00C00B52"/>
    <w:rsid w:val="00C0276B"/>
    <w:rsid w:val="00C15AA4"/>
    <w:rsid w:val="00C16663"/>
    <w:rsid w:val="00C2263E"/>
    <w:rsid w:val="00C40B06"/>
    <w:rsid w:val="00C41601"/>
    <w:rsid w:val="00C418B4"/>
    <w:rsid w:val="00C4193E"/>
    <w:rsid w:val="00C41BB9"/>
    <w:rsid w:val="00C41D2D"/>
    <w:rsid w:val="00C52C8B"/>
    <w:rsid w:val="00C538C4"/>
    <w:rsid w:val="00C53A62"/>
    <w:rsid w:val="00C5409A"/>
    <w:rsid w:val="00C55EA1"/>
    <w:rsid w:val="00C65F8F"/>
    <w:rsid w:val="00C72E37"/>
    <w:rsid w:val="00C74A36"/>
    <w:rsid w:val="00C77926"/>
    <w:rsid w:val="00C80D15"/>
    <w:rsid w:val="00C84698"/>
    <w:rsid w:val="00C8595E"/>
    <w:rsid w:val="00C905C0"/>
    <w:rsid w:val="00C95F79"/>
    <w:rsid w:val="00C97B05"/>
    <w:rsid w:val="00C97DB5"/>
    <w:rsid w:val="00CA0F6B"/>
    <w:rsid w:val="00CA2453"/>
    <w:rsid w:val="00CA6E53"/>
    <w:rsid w:val="00CB2339"/>
    <w:rsid w:val="00CB233F"/>
    <w:rsid w:val="00CB5ED7"/>
    <w:rsid w:val="00CB6814"/>
    <w:rsid w:val="00CC08B4"/>
    <w:rsid w:val="00CC24D3"/>
    <w:rsid w:val="00CC48EF"/>
    <w:rsid w:val="00CD1319"/>
    <w:rsid w:val="00CD44A5"/>
    <w:rsid w:val="00CD79E8"/>
    <w:rsid w:val="00CE0687"/>
    <w:rsid w:val="00CE1591"/>
    <w:rsid w:val="00CE6C4C"/>
    <w:rsid w:val="00CF0342"/>
    <w:rsid w:val="00CF1EB6"/>
    <w:rsid w:val="00CF24CE"/>
    <w:rsid w:val="00CF3764"/>
    <w:rsid w:val="00CF3775"/>
    <w:rsid w:val="00CF389E"/>
    <w:rsid w:val="00CF74CA"/>
    <w:rsid w:val="00CF7D62"/>
    <w:rsid w:val="00D038D5"/>
    <w:rsid w:val="00D06ECA"/>
    <w:rsid w:val="00D1000C"/>
    <w:rsid w:val="00D10ACF"/>
    <w:rsid w:val="00D11564"/>
    <w:rsid w:val="00D15972"/>
    <w:rsid w:val="00D263F3"/>
    <w:rsid w:val="00D33EC5"/>
    <w:rsid w:val="00D35149"/>
    <w:rsid w:val="00D356A5"/>
    <w:rsid w:val="00D37E26"/>
    <w:rsid w:val="00D46F90"/>
    <w:rsid w:val="00D47F1D"/>
    <w:rsid w:val="00D60CBA"/>
    <w:rsid w:val="00D63B45"/>
    <w:rsid w:val="00D66521"/>
    <w:rsid w:val="00D6727D"/>
    <w:rsid w:val="00D72AFA"/>
    <w:rsid w:val="00D73A9D"/>
    <w:rsid w:val="00D8128C"/>
    <w:rsid w:val="00D81828"/>
    <w:rsid w:val="00D835FF"/>
    <w:rsid w:val="00D836ED"/>
    <w:rsid w:val="00D87799"/>
    <w:rsid w:val="00D94BAF"/>
    <w:rsid w:val="00D95297"/>
    <w:rsid w:val="00DA0844"/>
    <w:rsid w:val="00DA18D5"/>
    <w:rsid w:val="00DA385E"/>
    <w:rsid w:val="00DA3BA5"/>
    <w:rsid w:val="00DA56C4"/>
    <w:rsid w:val="00DB0CE1"/>
    <w:rsid w:val="00DB3A80"/>
    <w:rsid w:val="00DB5818"/>
    <w:rsid w:val="00DB7F1C"/>
    <w:rsid w:val="00DC4B5F"/>
    <w:rsid w:val="00DC4EFD"/>
    <w:rsid w:val="00DC59AB"/>
    <w:rsid w:val="00DD5CB7"/>
    <w:rsid w:val="00DD76F9"/>
    <w:rsid w:val="00DE1DB7"/>
    <w:rsid w:val="00DE2469"/>
    <w:rsid w:val="00DE54BE"/>
    <w:rsid w:val="00DF236B"/>
    <w:rsid w:val="00E012E3"/>
    <w:rsid w:val="00E0182F"/>
    <w:rsid w:val="00E04D5A"/>
    <w:rsid w:val="00E07160"/>
    <w:rsid w:val="00E104FA"/>
    <w:rsid w:val="00E127D4"/>
    <w:rsid w:val="00E1573D"/>
    <w:rsid w:val="00E220BD"/>
    <w:rsid w:val="00E22B53"/>
    <w:rsid w:val="00E24E95"/>
    <w:rsid w:val="00E24FBF"/>
    <w:rsid w:val="00E2609E"/>
    <w:rsid w:val="00E40388"/>
    <w:rsid w:val="00E42E53"/>
    <w:rsid w:val="00E45A92"/>
    <w:rsid w:val="00E46D00"/>
    <w:rsid w:val="00E56382"/>
    <w:rsid w:val="00E563F3"/>
    <w:rsid w:val="00E578EF"/>
    <w:rsid w:val="00E579D6"/>
    <w:rsid w:val="00E6173F"/>
    <w:rsid w:val="00E6184A"/>
    <w:rsid w:val="00E657CE"/>
    <w:rsid w:val="00E663F3"/>
    <w:rsid w:val="00E725F3"/>
    <w:rsid w:val="00E82E1F"/>
    <w:rsid w:val="00E83B7F"/>
    <w:rsid w:val="00E84D34"/>
    <w:rsid w:val="00E853AB"/>
    <w:rsid w:val="00E85F56"/>
    <w:rsid w:val="00E92595"/>
    <w:rsid w:val="00E92C25"/>
    <w:rsid w:val="00E94459"/>
    <w:rsid w:val="00EA0979"/>
    <w:rsid w:val="00EA2122"/>
    <w:rsid w:val="00EA55F7"/>
    <w:rsid w:val="00EA5B49"/>
    <w:rsid w:val="00EB1763"/>
    <w:rsid w:val="00EB1C09"/>
    <w:rsid w:val="00EB28B3"/>
    <w:rsid w:val="00EB3F1F"/>
    <w:rsid w:val="00EC4BC0"/>
    <w:rsid w:val="00EC5984"/>
    <w:rsid w:val="00EC5F9E"/>
    <w:rsid w:val="00EC68B7"/>
    <w:rsid w:val="00ED1259"/>
    <w:rsid w:val="00ED1BC9"/>
    <w:rsid w:val="00ED23E6"/>
    <w:rsid w:val="00ED3D2D"/>
    <w:rsid w:val="00ED404F"/>
    <w:rsid w:val="00ED41F0"/>
    <w:rsid w:val="00ED46DF"/>
    <w:rsid w:val="00ED7284"/>
    <w:rsid w:val="00EE3C03"/>
    <w:rsid w:val="00EE651A"/>
    <w:rsid w:val="00EF0646"/>
    <w:rsid w:val="00EF3EB4"/>
    <w:rsid w:val="00EF5316"/>
    <w:rsid w:val="00F030A6"/>
    <w:rsid w:val="00F04264"/>
    <w:rsid w:val="00F050ED"/>
    <w:rsid w:val="00F0738B"/>
    <w:rsid w:val="00F102EB"/>
    <w:rsid w:val="00F11377"/>
    <w:rsid w:val="00F16DB7"/>
    <w:rsid w:val="00F17086"/>
    <w:rsid w:val="00F2177A"/>
    <w:rsid w:val="00F2234E"/>
    <w:rsid w:val="00F272AA"/>
    <w:rsid w:val="00F33F7C"/>
    <w:rsid w:val="00F35965"/>
    <w:rsid w:val="00F37434"/>
    <w:rsid w:val="00F375AE"/>
    <w:rsid w:val="00F37D4E"/>
    <w:rsid w:val="00F47F74"/>
    <w:rsid w:val="00F50B20"/>
    <w:rsid w:val="00F5415F"/>
    <w:rsid w:val="00F63427"/>
    <w:rsid w:val="00F72183"/>
    <w:rsid w:val="00F74BBF"/>
    <w:rsid w:val="00F7563D"/>
    <w:rsid w:val="00F86445"/>
    <w:rsid w:val="00F94185"/>
    <w:rsid w:val="00F95ABF"/>
    <w:rsid w:val="00F9722C"/>
    <w:rsid w:val="00FA03BB"/>
    <w:rsid w:val="00FA3230"/>
    <w:rsid w:val="00FA6CC0"/>
    <w:rsid w:val="00FB5461"/>
    <w:rsid w:val="00FB5D36"/>
    <w:rsid w:val="00FC0258"/>
    <w:rsid w:val="00FC0BE1"/>
    <w:rsid w:val="00FC1E97"/>
    <w:rsid w:val="00FC591A"/>
    <w:rsid w:val="00FD0671"/>
    <w:rsid w:val="00FD6DDB"/>
    <w:rsid w:val="00FD7059"/>
    <w:rsid w:val="00FE0DC1"/>
    <w:rsid w:val="00FE1C15"/>
    <w:rsid w:val="00FE3BC9"/>
    <w:rsid w:val="00FE4D4B"/>
    <w:rsid w:val="00FE56B2"/>
    <w:rsid w:val="00FE5745"/>
    <w:rsid w:val="00FE5821"/>
    <w:rsid w:val="00FE7498"/>
    <w:rsid w:val="00FF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49E7A31"/>
  <w15:docId w15:val="{6E9AE59F-B682-45AD-A86B-6883BB6B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829"/>
    <w:pPr>
      <w:spacing w:line="360" w:lineRule="auto"/>
      <w:ind w:left="1440"/>
      <w:jc w:val="both"/>
    </w:pPr>
    <w:rPr>
      <w:rFonts w:ascii="Times New Roman" w:hAnsi="Times New Roman"/>
      <w:sz w:val="24"/>
      <w:lang w:val="es-EC"/>
    </w:rPr>
  </w:style>
  <w:style w:type="paragraph" w:styleId="Ttulo1">
    <w:name w:val="heading 1"/>
    <w:basedOn w:val="Puesto"/>
    <w:next w:val="Normal"/>
    <w:link w:val="Ttulo1Car"/>
    <w:uiPriority w:val="9"/>
    <w:qFormat/>
    <w:rsid w:val="0023071D"/>
    <w:pPr>
      <w:keepNext/>
      <w:keepLines/>
      <w:spacing w:before="480" w:after="0"/>
      <w:ind w:left="0"/>
      <w:outlineLvl w:val="0"/>
    </w:pPr>
    <w:rPr>
      <w:rFonts w:ascii="Times New Roman" w:hAnsi="Times New Roman" w:cs="Times New Roman"/>
      <w:b/>
      <w:bCs/>
      <w:color w:val="auto"/>
      <w:sz w:val="24"/>
      <w:szCs w:val="24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AA372B"/>
    <w:pPr>
      <w:numPr>
        <w:ilvl w:val="1"/>
        <w:numId w:val="2"/>
      </w:numPr>
      <w:spacing w:after="0" w:line="276" w:lineRule="auto"/>
      <w:outlineLvl w:val="1"/>
    </w:pPr>
    <w:rPr>
      <w:rFonts w:eastAsiaTheme="minorEastAsia" w:cs="Times New Roman"/>
      <w:b/>
      <w:lang w:eastAsia="es-EC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7E5FCB"/>
    <w:pPr>
      <w:numPr>
        <w:ilvl w:val="2"/>
      </w:numPr>
      <w:outlineLvl w:val="2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eastAsiaTheme="minorEastAsia" w:cs="Times New Roman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23071D"/>
    <w:rPr>
      <w:rFonts w:ascii="Times New Roman" w:eastAsiaTheme="majorEastAsia" w:hAnsi="Times New Roman" w:cs="Times New Roman"/>
      <w:b/>
      <w:bCs/>
      <w:spacing w:val="5"/>
      <w:kern w:val="28"/>
      <w:sz w:val="24"/>
      <w:szCs w:val="24"/>
      <w:lang w:val="es-EC" w:eastAsia="es-EC"/>
    </w:rPr>
  </w:style>
  <w:style w:type="character" w:customStyle="1" w:styleId="Ttulo2Car">
    <w:name w:val="Título 2 Car"/>
    <w:basedOn w:val="Fuentedeprrafopredeter"/>
    <w:link w:val="Ttulo2"/>
    <w:uiPriority w:val="9"/>
    <w:rsid w:val="00AA372B"/>
    <w:rPr>
      <w:rFonts w:ascii="Times New Roman" w:eastAsiaTheme="minorEastAsia" w:hAnsi="Times New Roman" w:cs="Times New Roman"/>
      <w:b/>
      <w:sz w:val="24"/>
      <w:lang w:val="es-EC" w:eastAsia="es-EC"/>
    </w:rPr>
  </w:style>
  <w:style w:type="character" w:customStyle="1" w:styleId="Ttulo3Car">
    <w:name w:val="Título 3 Car"/>
    <w:basedOn w:val="Fuentedeprrafopredeter"/>
    <w:link w:val="Ttulo3"/>
    <w:uiPriority w:val="9"/>
    <w:rsid w:val="007E5FCB"/>
    <w:rPr>
      <w:rFonts w:ascii="Times New Roman" w:eastAsiaTheme="minorEastAsia" w:hAnsi="Times New Roman" w:cs="Times New Roman"/>
      <w:b/>
      <w:sz w:val="24"/>
      <w:lang w:val="es-EC" w:eastAsia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AA18E6"/>
    <w:pPr>
      <w:tabs>
        <w:tab w:val="left" w:pos="284"/>
        <w:tab w:val="right" w:leader="dot" w:pos="9350"/>
      </w:tabs>
      <w:spacing w:after="100"/>
      <w:ind w:left="0"/>
    </w:pPr>
  </w:style>
  <w:style w:type="paragraph" w:styleId="TDC3">
    <w:name w:val="toc 3"/>
    <w:basedOn w:val="Normal"/>
    <w:next w:val="Normal"/>
    <w:autoRedefine/>
    <w:uiPriority w:val="39"/>
    <w:unhideWhenUsed/>
    <w:rsid w:val="00AA18E6"/>
    <w:pPr>
      <w:tabs>
        <w:tab w:val="left" w:pos="1276"/>
        <w:tab w:val="right" w:leader="dot" w:pos="9350"/>
      </w:tabs>
      <w:spacing w:after="100" w:line="276" w:lineRule="auto"/>
      <w:ind w:left="1134" w:hanging="425"/>
    </w:pPr>
  </w:style>
  <w:style w:type="paragraph" w:styleId="TDC2">
    <w:name w:val="toc 2"/>
    <w:basedOn w:val="Normal"/>
    <w:next w:val="Normal"/>
    <w:autoRedefine/>
    <w:uiPriority w:val="39"/>
    <w:unhideWhenUsed/>
    <w:rsid w:val="00144626"/>
    <w:pPr>
      <w:tabs>
        <w:tab w:val="left" w:pos="709"/>
        <w:tab w:val="left" w:pos="1276"/>
        <w:tab w:val="right" w:leader="dot" w:pos="9350"/>
      </w:tabs>
      <w:spacing w:after="100"/>
      <w:ind w:left="284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4801C3"/>
    <w:pPr>
      <w:keepNext/>
      <w:keepLines/>
      <w:pBdr>
        <w:bottom w:val="single" w:sz="8" w:space="4" w:color="A9A57C"/>
      </w:pBdr>
      <w:spacing w:before="480" w:after="0" w:line="276" w:lineRule="auto"/>
      <w:ind w:left="0"/>
      <w:contextualSpacing/>
      <w:jc w:val="left"/>
      <w:outlineLvl w:val="0"/>
    </w:pPr>
    <w:rPr>
      <w:rFonts w:eastAsia="Times New Roman" w:cs="Times New Roman"/>
      <w:b/>
      <w:spacing w:val="5"/>
      <w:kern w:val="28"/>
      <w:sz w:val="28"/>
      <w:szCs w:val="32"/>
      <w:lang w:val="es-CO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4801C3"/>
    <w:rPr>
      <w:rFonts w:ascii="Times New Roman" w:eastAsia="Times New Roman" w:hAnsi="Times New Roman" w:cs="Times New Roman"/>
      <w:b/>
      <w:spacing w:val="5"/>
      <w:kern w:val="28"/>
      <w:sz w:val="28"/>
      <w:szCs w:val="32"/>
      <w:lang w:val="es-CO" w:eastAsia="es-ES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numbering" w:customStyle="1" w:styleId="Estilo1">
    <w:name w:val="Estilo1"/>
    <w:uiPriority w:val="99"/>
    <w:rsid w:val="008677CF"/>
    <w:pPr>
      <w:numPr>
        <w:numId w:val="3"/>
      </w:numPr>
    </w:pPr>
  </w:style>
  <w:style w:type="numbering" w:customStyle="1" w:styleId="Estilo2">
    <w:name w:val="Estilo2"/>
    <w:uiPriority w:val="99"/>
    <w:rsid w:val="008677CF"/>
    <w:pPr>
      <w:numPr>
        <w:numId w:val="4"/>
      </w:numPr>
    </w:pPr>
  </w:style>
  <w:style w:type="numbering" w:customStyle="1" w:styleId="Estilo3">
    <w:name w:val="Estilo3"/>
    <w:uiPriority w:val="99"/>
    <w:rsid w:val="008677CF"/>
    <w:pPr>
      <w:numPr>
        <w:numId w:val="5"/>
      </w:numPr>
    </w:pPr>
  </w:style>
  <w:style w:type="numbering" w:customStyle="1" w:styleId="Estilo4">
    <w:name w:val="Estilo4"/>
    <w:uiPriority w:val="99"/>
    <w:rsid w:val="008677CF"/>
    <w:pPr>
      <w:numPr>
        <w:numId w:val="7"/>
      </w:numPr>
    </w:pPr>
  </w:style>
  <w:style w:type="table" w:customStyle="1" w:styleId="Tablaconcuadrcula1">
    <w:name w:val="Tabla con cuadrícula1"/>
    <w:basedOn w:val="Tablanormal"/>
    <w:next w:val="Tablaconcuadrcula"/>
    <w:rsid w:val="00DB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uiPriority w:val="99"/>
    <w:semiHidden/>
    <w:unhideWhenUsed/>
    <w:rsid w:val="00CF0342"/>
    <w:rPr>
      <w:color w:val="598C8C" w:themeColor="followedHyperlink"/>
      <w:u w:val="single"/>
    </w:rPr>
  </w:style>
  <w:style w:type="paragraph" w:customStyle="1" w:styleId="CM24">
    <w:name w:val="CM24"/>
    <w:basedOn w:val="Normal"/>
    <w:next w:val="Normal"/>
    <w:rsid w:val="00BB12BC"/>
    <w:pPr>
      <w:widowControl w:val="0"/>
      <w:autoSpaceDE w:val="0"/>
      <w:autoSpaceDN w:val="0"/>
      <w:adjustRightInd w:val="0"/>
      <w:spacing w:after="0" w:line="240" w:lineRule="auto"/>
      <w:ind w:left="-113"/>
      <w:jc w:val="left"/>
    </w:pPr>
    <w:rPr>
      <w:rFonts w:ascii="Calibri" w:eastAsia="Times New Roman" w:hAnsi="Calibri" w:cs="Times New Roman"/>
      <w:szCs w:val="24"/>
      <w:lang w:val="es-ES" w:eastAsia="es-ES"/>
    </w:rPr>
  </w:style>
  <w:style w:type="paragraph" w:customStyle="1" w:styleId="TITULO01">
    <w:name w:val="TITULO 01"/>
    <w:basedOn w:val="Normal"/>
    <w:link w:val="TITULO01Car"/>
    <w:qFormat/>
    <w:rsid w:val="00A1418B"/>
    <w:pPr>
      <w:spacing w:after="0" w:line="240" w:lineRule="auto"/>
      <w:ind w:left="0"/>
      <w:jc w:val="left"/>
    </w:pPr>
    <w:rPr>
      <w:rFonts w:asciiTheme="minorHAnsi" w:hAnsiTheme="minorHAnsi"/>
      <w:b/>
      <w:sz w:val="100"/>
      <w:szCs w:val="100"/>
    </w:rPr>
  </w:style>
  <w:style w:type="table" w:customStyle="1" w:styleId="Tablaconcuadrcula2">
    <w:name w:val="Tabla con cuadrícula2"/>
    <w:basedOn w:val="Tablanormal"/>
    <w:next w:val="Tablaconcuadrcula"/>
    <w:rsid w:val="00D37E26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ULO01Car">
    <w:name w:val="TITULO 01 Car"/>
    <w:basedOn w:val="SinespaciadoCar"/>
    <w:link w:val="TITULO01"/>
    <w:rsid w:val="00A1418B"/>
    <w:rPr>
      <w:rFonts w:eastAsiaTheme="minorEastAsia"/>
      <w:b/>
      <w:sz w:val="100"/>
      <w:szCs w:val="100"/>
      <w:lang w:val="es-EC" w:eastAsia="es-EC"/>
    </w:rPr>
  </w:style>
  <w:style w:type="paragraph" w:styleId="Textonotaalfinal">
    <w:name w:val="endnote text"/>
    <w:basedOn w:val="Normal"/>
    <w:link w:val="TextonotaalfinalCar"/>
    <w:uiPriority w:val="99"/>
    <w:unhideWhenUsed/>
    <w:rsid w:val="00D37E26"/>
    <w:pPr>
      <w:spacing w:after="0" w:line="240" w:lineRule="auto"/>
      <w:ind w:left="708"/>
    </w:pPr>
    <w:rPr>
      <w:rFonts w:eastAsia="Times New Roman"/>
      <w:sz w:val="20"/>
      <w:szCs w:val="20"/>
      <w:lang w:eastAsia="es-EC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D37E26"/>
    <w:rPr>
      <w:rFonts w:ascii="Times New Roman" w:eastAsia="Times New Roman" w:hAnsi="Times New Roman"/>
      <w:sz w:val="20"/>
      <w:szCs w:val="20"/>
      <w:lang w:val="es-EC" w:eastAsia="es-EC"/>
    </w:rPr>
  </w:style>
  <w:style w:type="character" w:styleId="nfasissutil">
    <w:name w:val="Subtle Emphasis"/>
    <w:uiPriority w:val="19"/>
    <w:qFormat/>
    <w:rsid w:val="006E12E1"/>
  </w:style>
  <w:style w:type="character" w:styleId="Refdecomentario">
    <w:name w:val="annotation reference"/>
    <w:basedOn w:val="Fuentedeprrafopredeter"/>
    <w:uiPriority w:val="99"/>
    <w:semiHidden/>
    <w:unhideWhenUsed/>
    <w:rsid w:val="00537468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537468"/>
    <w:pPr>
      <w:spacing w:line="240" w:lineRule="auto"/>
      <w:ind w:left="0"/>
      <w:jc w:val="left"/>
    </w:pPr>
    <w:rPr>
      <w:rFonts w:ascii="Calibri" w:hAnsi="Calibri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537468"/>
    <w:rPr>
      <w:rFonts w:ascii="Calibri" w:hAnsi="Calibri"/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537468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537468"/>
    <w:rPr>
      <w:rFonts w:ascii="Times New Roman" w:hAnsi="Times New Roman"/>
      <w:sz w:val="20"/>
      <w:szCs w:val="20"/>
      <w:lang w:val="es-EC"/>
    </w:rPr>
  </w:style>
  <w:style w:type="character" w:styleId="nfasis">
    <w:name w:val="Emphasis"/>
    <w:uiPriority w:val="20"/>
    <w:qFormat/>
    <w:rsid w:val="00176FBD"/>
    <w:rPr>
      <w:color w:val="000000" w:themeColor="tex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1DD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8C1DD7"/>
    <w:rPr>
      <w:rFonts w:ascii="Times New Roman" w:hAnsi="Times New Roman"/>
      <w:b/>
      <w:bCs/>
      <w:sz w:val="20"/>
      <w:szCs w:val="20"/>
      <w:lang w:val="es-EC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3B47"/>
    <w:pPr>
      <w:pBdr>
        <w:bottom w:val="single" w:sz="4" w:space="4" w:color="98C723" w:themeColor="accent1"/>
      </w:pBdr>
      <w:spacing w:before="200" w:after="280"/>
      <w:ind w:left="936" w:right="936"/>
    </w:pPr>
    <w:rPr>
      <w:b/>
      <w:bCs/>
      <w:i/>
      <w:iCs/>
      <w:color w:val="98C723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3B47"/>
    <w:rPr>
      <w:rFonts w:ascii="Times New Roman" w:hAnsi="Times New Roman"/>
      <w:b/>
      <w:bCs/>
      <w:i/>
      <w:iCs/>
      <w:color w:val="98C723" w:themeColor="accent1"/>
      <w:sz w:val="24"/>
      <w:lang w:val="es-EC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A372B"/>
    <w:rPr>
      <w:rFonts w:ascii="Times New Roman" w:hAnsi="Times New Roman"/>
      <w:sz w:val="24"/>
      <w:lang w:val="es-EC"/>
    </w:rPr>
  </w:style>
  <w:style w:type="paragraph" w:styleId="Revisin">
    <w:name w:val="Revision"/>
    <w:hidden/>
    <w:uiPriority w:val="99"/>
    <w:semiHidden/>
    <w:rsid w:val="0089340C"/>
    <w:pPr>
      <w:spacing w:after="0" w:line="240" w:lineRule="auto"/>
    </w:pPr>
    <w:rPr>
      <w:rFonts w:ascii="Times New Roman" w:hAnsi="Times New Roman"/>
      <w:sz w:val="24"/>
      <w:lang w:val="es-EC"/>
    </w:rPr>
  </w:style>
  <w:style w:type="table" w:customStyle="1" w:styleId="Tablaconcuadrcula3">
    <w:name w:val="Tabla con cuadrícula3"/>
    <w:basedOn w:val="Tablanormal"/>
    <w:next w:val="Tablaconcuadrcula"/>
    <w:rsid w:val="00753C61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4">
    <w:name w:val="Tabla con cuadrícula4"/>
    <w:basedOn w:val="Tablanormal"/>
    <w:next w:val="Tablaconcuadrcula"/>
    <w:rsid w:val="00580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1">
    <w:name w:val="Tabla con cuadrícula11"/>
    <w:basedOn w:val="Tablanormal"/>
    <w:next w:val="Tablaconcuadrcula"/>
    <w:rsid w:val="005809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1">
    <w:name w:val="Tabla con cuadrícula21"/>
    <w:basedOn w:val="Tablanormal"/>
    <w:next w:val="Tablaconcuadrcula"/>
    <w:rsid w:val="00580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1">
    <w:name w:val="Tabla con cuadrícula31"/>
    <w:basedOn w:val="Tablanormal"/>
    <w:next w:val="Tablaconcuadrcula"/>
    <w:rsid w:val="0058095D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5">
    <w:name w:val="Tabla con cuadrícula5"/>
    <w:basedOn w:val="Tablanormal"/>
    <w:next w:val="Tablaconcuadrcula"/>
    <w:rsid w:val="00F50B20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2">
    <w:name w:val="Tabla con cuadrícula22"/>
    <w:basedOn w:val="Tablanormal"/>
    <w:next w:val="Tablaconcuadrcula"/>
    <w:rsid w:val="00F50B20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6">
    <w:name w:val="Tabla con cuadrícula6"/>
    <w:basedOn w:val="Tablanormal"/>
    <w:next w:val="Tablaconcuadrcula"/>
    <w:rsid w:val="00F50B20"/>
    <w:pPr>
      <w:spacing w:after="0" w:line="240" w:lineRule="auto"/>
    </w:pPr>
    <w:rPr>
      <w:rFonts w:eastAsia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D1000C"/>
  </w:style>
  <w:style w:type="table" w:customStyle="1" w:styleId="Tablaconcuadrcula7">
    <w:name w:val="Tabla con cuadrícula7"/>
    <w:basedOn w:val="Tablanormal"/>
    <w:next w:val="Tablaconcuadrcula"/>
    <w:uiPriority w:val="59"/>
    <w:rsid w:val="00D10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clara-nfasis41">
    <w:name w:val="Cuadrícula clara - Énfasis 41"/>
    <w:basedOn w:val="Tablanormal"/>
    <w:next w:val="Cuadrculaclara-nfasis4"/>
    <w:uiPriority w:val="62"/>
    <w:rsid w:val="00D100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77BB4"/>
        <w:left w:val="single" w:sz="8" w:space="0" w:color="B77BB4"/>
        <w:bottom w:val="single" w:sz="8" w:space="0" w:color="B77BB4"/>
        <w:right w:val="single" w:sz="8" w:space="0" w:color="B77BB4"/>
        <w:insideH w:val="single" w:sz="8" w:space="0" w:color="B77BB4"/>
        <w:insideV w:val="single" w:sz="8" w:space="0" w:color="B77B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B77BB4"/>
          <w:left w:val="single" w:sz="8" w:space="0" w:color="B77BB4"/>
          <w:bottom w:val="single" w:sz="18" w:space="0" w:color="B77BB4"/>
          <w:right w:val="single" w:sz="8" w:space="0" w:color="B77BB4"/>
          <w:insideH w:val="nil"/>
          <w:insideV w:val="single" w:sz="8" w:space="0" w:color="B77BB4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B77BB4"/>
          <w:left w:val="single" w:sz="8" w:space="0" w:color="B77BB4"/>
          <w:bottom w:val="single" w:sz="8" w:space="0" w:color="B77BB4"/>
          <w:right w:val="single" w:sz="8" w:space="0" w:color="B77BB4"/>
          <w:insideH w:val="nil"/>
          <w:insideV w:val="single" w:sz="8" w:space="0" w:color="B77BB4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</w:tcBorders>
      </w:tcPr>
    </w:tblStylePr>
    <w:tblStylePr w:type="band1Vert"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</w:tcBorders>
        <w:shd w:val="clear" w:color="auto" w:fill="EDDEEC"/>
      </w:tcPr>
    </w:tblStylePr>
    <w:tblStylePr w:type="band1Horz"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  <w:insideV w:val="single" w:sz="8" w:space="0" w:color="B77BB4"/>
        </w:tcBorders>
        <w:shd w:val="clear" w:color="auto" w:fill="EDDEEC"/>
      </w:tcPr>
    </w:tblStylePr>
    <w:tblStylePr w:type="band2Horz">
      <w:tblPr/>
      <w:tcPr>
        <w:tcBorders>
          <w:top w:val="single" w:sz="8" w:space="0" w:color="B77BB4"/>
          <w:left w:val="single" w:sz="8" w:space="0" w:color="B77BB4"/>
          <w:bottom w:val="single" w:sz="8" w:space="0" w:color="B77BB4"/>
          <w:right w:val="single" w:sz="8" w:space="0" w:color="B77BB4"/>
          <w:insideV w:val="single" w:sz="8" w:space="0" w:color="B77BB4"/>
        </w:tcBorders>
      </w:tcPr>
    </w:tblStylePr>
  </w:style>
  <w:style w:type="table" w:customStyle="1" w:styleId="Cuadrculaclara-nfasis51">
    <w:name w:val="Cuadrícula clara - Énfasis 51"/>
    <w:basedOn w:val="Tablanormal"/>
    <w:next w:val="Cuadrculaclara-nfasis5"/>
    <w:uiPriority w:val="62"/>
    <w:rsid w:val="00D100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773C"/>
        <w:left w:val="single" w:sz="8" w:space="0" w:color="E0773C"/>
        <w:bottom w:val="single" w:sz="8" w:space="0" w:color="E0773C"/>
        <w:right w:val="single" w:sz="8" w:space="0" w:color="E0773C"/>
        <w:insideH w:val="single" w:sz="8" w:space="0" w:color="E0773C"/>
        <w:insideV w:val="single" w:sz="8" w:space="0" w:color="E0773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E0773C"/>
          <w:left w:val="single" w:sz="8" w:space="0" w:color="E0773C"/>
          <w:bottom w:val="single" w:sz="18" w:space="0" w:color="E0773C"/>
          <w:right w:val="single" w:sz="8" w:space="0" w:color="E0773C"/>
          <w:insideH w:val="nil"/>
          <w:insideV w:val="single" w:sz="8" w:space="0" w:color="E0773C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E0773C"/>
          <w:left w:val="single" w:sz="8" w:space="0" w:color="E0773C"/>
          <w:bottom w:val="single" w:sz="8" w:space="0" w:color="E0773C"/>
          <w:right w:val="single" w:sz="8" w:space="0" w:color="E0773C"/>
          <w:insideH w:val="nil"/>
          <w:insideV w:val="single" w:sz="8" w:space="0" w:color="E0773C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</w:tcBorders>
      </w:tcPr>
    </w:tblStylePr>
    <w:tblStylePr w:type="band1Vert"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</w:tcBorders>
        <w:shd w:val="clear" w:color="auto" w:fill="F7DDCE"/>
      </w:tcPr>
    </w:tblStylePr>
    <w:tblStylePr w:type="band1Horz"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  <w:insideV w:val="single" w:sz="8" w:space="0" w:color="E0773C"/>
        </w:tcBorders>
        <w:shd w:val="clear" w:color="auto" w:fill="F7DDCE"/>
      </w:tcPr>
    </w:tblStylePr>
    <w:tblStylePr w:type="band2Horz">
      <w:tblPr/>
      <w:tcPr>
        <w:tcBorders>
          <w:top w:val="single" w:sz="8" w:space="0" w:color="E0773C"/>
          <w:left w:val="single" w:sz="8" w:space="0" w:color="E0773C"/>
          <w:bottom w:val="single" w:sz="8" w:space="0" w:color="E0773C"/>
          <w:right w:val="single" w:sz="8" w:space="0" w:color="E0773C"/>
          <w:insideV w:val="single" w:sz="8" w:space="0" w:color="E0773C"/>
        </w:tcBorders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D100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8C723"/>
        <w:left w:val="single" w:sz="8" w:space="0" w:color="98C723"/>
        <w:bottom w:val="single" w:sz="8" w:space="0" w:color="98C723"/>
        <w:right w:val="single" w:sz="8" w:space="0" w:color="98C723"/>
        <w:insideH w:val="single" w:sz="8" w:space="0" w:color="98C723"/>
        <w:insideV w:val="single" w:sz="8" w:space="0" w:color="98C72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8C723"/>
          <w:left w:val="single" w:sz="8" w:space="0" w:color="98C723"/>
          <w:bottom w:val="single" w:sz="18" w:space="0" w:color="98C723"/>
          <w:right w:val="single" w:sz="8" w:space="0" w:color="98C723"/>
          <w:insideH w:val="nil"/>
          <w:insideV w:val="single" w:sz="8" w:space="0" w:color="98C723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8C723"/>
          <w:left w:val="single" w:sz="8" w:space="0" w:color="98C723"/>
          <w:bottom w:val="single" w:sz="8" w:space="0" w:color="98C723"/>
          <w:right w:val="single" w:sz="8" w:space="0" w:color="98C723"/>
          <w:insideH w:val="nil"/>
          <w:insideV w:val="single" w:sz="8" w:space="0" w:color="98C723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</w:tcBorders>
      </w:tcPr>
    </w:tblStylePr>
    <w:tblStylePr w:type="band1Vert"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</w:tcBorders>
        <w:shd w:val="clear" w:color="auto" w:fill="E6F4C4"/>
      </w:tcPr>
    </w:tblStylePr>
    <w:tblStylePr w:type="band1Horz"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  <w:insideV w:val="single" w:sz="8" w:space="0" w:color="98C723"/>
        </w:tcBorders>
        <w:shd w:val="clear" w:color="auto" w:fill="E6F4C4"/>
      </w:tcPr>
    </w:tblStylePr>
    <w:tblStylePr w:type="band2Horz">
      <w:tblPr/>
      <w:tcPr>
        <w:tcBorders>
          <w:top w:val="single" w:sz="8" w:space="0" w:color="98C723"/>
          <w:left w:val="single" w:sz="8" w:space="0" w:color="98C723"/>
          <w:bottom w:val="single" w:sz="8" w:space="0" w:color="98C723"/>
          <w:right w:val="single" w:sz="8" w:space="0" w:color="98C723"/>
          <w:insideV w:val="single" w:sz="8" w:space="0" w:color="98C723"/>
        </w:tcBorders>
      </w:tcPr>
    </w:tblStylePr>
  </w:style>
  <w:style w:type="table" w:customStyle="1" w:styleId="Tablaconcuadrcula8">
    <w:name w:val="Tabla con cuadrícula8"/>
    <w:basedOn w:val="Tablanormal"/>
    <w:next w:val="Tablaconcuadrcula"/>
    <w:rsid w:val="002D3A85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2">
    <w:name w:val="Tabla con cuadrícula12"/>
    <w:basedOn w:val="Tablanormal"/>
    <w:rsid w:val="002D3A85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9">
    <w:name w:val="Tabla con cuadrícula9"/>
    <w:basedOn w:val="Tablanormal"/>
    <w:next w:val="Tablaconcuadrcula"/>
    <w:rsid w:val="00C2263E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0">
    <w:name w:val="Tabla con cuadrícula10"/>
    <w:basedOn w:val="Tablanormal"/>
    <w:next w:val="Tablaconcuadrcula"/>
    <w:rsid w:val="007E0D9B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3">
    <w:name w:val="Tabla con cuadrícula13"/>
    <w:basedOn w:val="Tablanormal"/>
    <w:next w:val="Tablaconcuadrcula"/>
    <w:rsid w:val="00A04A8D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4">
    <w:name w:val="Tabla con cuadrícula14"/>
    <w:basedOn w:val="Tablanormal"/>
    <w:next w:val="Tablaconcuadrcula"/>
    <w:rsid w:val="00D94BAF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5">
    <w:name w:val="Tabla con cuadrícula15"/>
    <w:basedOn w:val="Tablanormal"/>
    <w:next w:val="Tablaconcuadrcula"/>
    <w:uiPriority w:val="59"/>
    <w:rsid w:val="00E56382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6">
    <w:name w:val="Tabla con cuadrícula16"/>
    <w:basedOn w:val="Tablanormal"/>
    <w:rsid w:val="00E56382"/>
    <w:pPr>
      <w:spacing w:after="0" w:line="240" w:lineRule="auto"/>
    </w:pPr>
    <w:rPr>
      <w:rFonts w:ascii="Calibri" w:eastAsia="Times New Roman" w:hAnsi="Calibri" w:cs="Times New Roman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7">
    <w:name w:val="Tabla con cuadrícula17"/>
    <w:basedOn w:val="Tablanormal"/>
    <w:next w:val="Tablaconcuadrcula"/>
    <w:uiPriority w:val="59"/>
    <w:rsid w:val="003C02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DB3A80"/>
    <w:pPr>
      <w:spacing w:after="0" w:line="240" w:lineRule="auto"/>
    </w:pPr>
    <w:rPr>
      <w:rFonts w:eastAsiaTheme="minorEastAsia"/>
      <w:lang w:val="es-EC" w:eastAsia="es-EC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Versión # 4 de los Lineamientos de Vinculación con la Sociedad,  aprobado en Comisión de Vinculación con la Sociedad, el día 24 junio 2015. Documento elaborado por Noemí Lavid, Aleyda Quinteros y Denise Rodríguez, para la aprobación de programas, proyectos, servicios y actividades específicas de Vinculación con la Sociedad.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1</b:RefOrder>
  </b:Source>
  <b:Source>
    <b:Tag>CEA15</b:Tag>
    <b:SourceType>Book</b:SourceType>
    <b:Guid>{65481F59-458A-4F88-AD41-B806AD82CFE6}</b:Guid>
    <b:Author>
      <b:Author>
        <b:NameList>
          <b:Person>
            <b:Last>CEAACES</b:Last>
          </b:Person>
        </b:NameList>
      </b:Author>
    </b:Author>
    <b:Title>Modelo Génerico de evaluación del entorno de aprendizaje de carreras presenciales y semipresenciales de las universidades y escuelas politécnicas</b:Title>
    <b:Year>2015</b:Year>
    <b:City>Quito</b:City>
    <b:Publisher>Comisión de Evaluación y Acreditación de Carreras </b:Publisher>
    <b:RefOrder>3</b:RefOrder>
  </b:Source>
  <b:Source>
    <b:Tag>Ern04</b:Tag>
    <b:SourceType>Report</b:SourceType>
    <b:Guid>{984DB530-9042-478C-AFF1-5E6FF190F7A3}</b:Guid>
    <b:Title>FORMULACIÓN, EVALUACIÓN Y MONITOREO DE PROYECTOS SOCIALES </b:Title>
    <b:Year>2004</b:Year>
    <b:Author>
      <b:Author>
        <b:NameList>
          <b:Person>
            <b:Last>Cohen</b:Last>
            <b:First>Ernesto</b:First>
          </b:Person>
          <b:Person>
            <b:Last>Martínez</b:Last>
            <b:First>Rodrigo</b:First>
          </b:Person>
        </b:NameList>
      </b:Author>
    </b:Author>
    <b:Institution>CEPAL</b:Institution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0A41A0-8A27-4392-BFB3-C97D3EAFC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E3E77E-2279-482E-BEB6-5707485807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6F6FE-69B5-4623-996C-5A2AECBC78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C6B6267-2539-47CA-8464-F8340109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lineamientos DE VINCULACIÓN CON LA SOCIEDAD</vt:lpstr>
    </vt:vector>
  </TitlesOfParts>
  <Company>ESPOL</Company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lineamientos DE VINCULACIÓN CON LA SOCIEDAD.- PROGRAMAS</dc:title>
  <dc:subject>Procesos de ejecución, monitoreo y cierre</dc:subject>
  <dc:creator>UVS-2015</dc:creator>
  <cp:lastModifiedBy>Noemi Elizabeth Lavid Cedeno</cp:lastModifiedBy>
  <cp:revision>4</cp:revision>
  <cp:lastPrinted>2015-06-02T20:08:00Z</cp:lastPrinted>
  <dcterms:created xsi:type="dcterms:W3CDTF">2015-09-28T20:35:00Z</dcterms:created>
  <dcterms:modified xsi:type="dcterms:W3CDTF">2015-11-18T17:37:00Z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